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ckKicker"/>
        <w:keepNext/>
        <w:keepLines/>
        <w:widowControl/>
      </w:pPr>
      <w:r>
        <w:t>WACK CASE FILES  /  SEASON ONE  /  COMPLETE COLLECTION</w:t>
      </w:r>
    </w:p>
    <w:p>
      <w:pPr>
        <w:pStyle w:val="Title"/>
        <w:spacing w:before="1480"/>
        <w:keepNext/>
        <w:keepLines/>
        <w:widowControl/>
        <w:pBdr>
          <w:bottom w:val="single" w:sz="28" w:space="11" w:color="FF882B"/>
        </w:pBdr>
      </w:pPr>
      <w:r>
        <w:t>THE CLUSTER OF WACK: CASE FILES</w:t>
      </w:r>
    </w:p>
    <w:p>
      <w:pPr>
        <w:pStyle w:val="WackDeck"/>
        <w:keepNext w:val="0"/>
        <w:keepLines/>
        <w:widowControl/>
      </w:pPr>
      <w:r>
        <w:t>Six fictional composite stories about the moment a reasonable explanation collides with the architecture around it.</w:t>
      </w:r>
    </w:p>
    <w:p>
      <w:pPr>
        <w:pStyle w:val="WackKicker"/>
      </w:pPr>
      <w:r>
        <w:t>FICTIONAL COMPOSITE  /  REAL PRACTITIONER PATTERN</w:t>
      </w:r>
    </w:p>
    <w:p/>
    <w:p>
      <w:pPr>
        <w:pStyle w:val="WackCallout"/>
        <w:keepNext w:val="0"/>
        <w:keepLines/>
        <w:widowControl/>
        <w:shd w:fill="EEF2F3"/>
      </w:pPr>
      <w:r>
        <w:t>"One weird thing is a finding. Three weird things deserve a diagram."</w:t>
      </w:r>
    </w:p>
    <w:p>
      <w:pPr>
        <w:pStyle w:val="WackKicker"/>
      </w:pPr>
      <w:r>
        <w:t>FIND  /  MAP  /  EXPLAIN  /  REDUCE  /  PROVE</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SEASON CONTENTS</w:t>
      </w:r>
    </w:p>
    <w:p>
      <w:pPr>
        <w:pStyle w:val="Heading1"/>
      </w:pPr>
      <w:r>
        <w:t>SIX CASES. ONE METHOD.</w:t>
      </w:r>
    </w:p>
    <w:p>
      <w:pPr>
        <w:pStyle w:val="WackCallout"/>
        <w:keepNext w:val="0"/>
        <w:keepLines/>
        <w:widowControl/>
        <w:shd w:fill="EEF2F3"/>
      </w:pPr>
      <w:r>
        <w:rPr>
          <w:b/>
        </w:rPr>
        <w:t xml:space="preserve">01  </w:t>
      </w:r>
      <w:r>
        <w:t>The Server That Was Out of Scope Until Patch Tuesday</w:t>
      </w:r>
    </w:p>
    <w:p>
      <w:pPr>
        <w:pStyle w:val="WackCallout"/>
        <w:keepNext w:val="0"/>
        <w:keepLines/>
        <w:widowControl/>
        <w:shd w:fill="EEF2F3"/>
      </w:pPr>
      <w:r>
        <w:rPr>
          <w:b/>
        </w:rPr>
        <w:t xml:space="preserve">02  </w:t>
      </w:r>
      <w:r>
        <w:t>The Green Dashboard and the Missing Population</w:t>
      </w:r>
    </w:p>
    <w:p>
      <w:pPr>
        <w:pStyle w:val="WackCallout"/>
        <w:keepNext w:val="0"/>
        <w:keepLines/>
        <w:widowControl/>
        <w:shd w:fill="EEF2F3"/>
      </w:pPr>
      <w:r>
        <w:rPr>
          <w:b/>
        </w:rPr>
        <w:t xml:space="preserve">03  </w:t>
      </w:r>
      <w:r>
        <w:t>The Vendor AOC That Answered the Wrong Question</w:t>
      </w:r>
    </w:p>
    <w:p>
      <w:pPr>
        <w:pStyle w:val="WackCallout"/>
        <w:keepNext w:val="0"/>
        <w:keepLines/>
        <w:widowControl/>
        <w:shd w:fill="EEF2F3"/>
      </w:pPr>
      <w:r>
        <w:rPr>
          <w:b/>
        </w:rPr>
        <w:t xml:space="preserve">04  </w:t>
      </w:r>
      <w:r>
        <w:t>The Temporary Firewall Rule That Became Architecture</w:t>
      </w:r>
    </w:p>
    <w:p>
      <w:pPr>
        <w:pStyle w:val="WackCallout"/>
        <w:keepNext w:val="0"/>
        <w:keepLines/>
        <w:widowControl/>
        <w:shd w:fill="EEF2F3"/>
      </w:pPr>
      <w:r>
        <w:rPr>
          <w:b/>
        </w:rPr>
        <w:t xml:space="preserve">05  </w:t>
      </w:r>
      <w:r>
        <w:t>The Diagram Nobody Wanted to Update</w:t>
      </w:r>
    </w:p>
    <w:p>
      <w:pPr>
        <w:pStyle w:val="WackCallout"/>
        <w:keepNext w:val="0"/>
        <w:keepLines/>
        <w:widowControl/>
        <w:shd w:fill="EEF2F3"/>
      </w:pPr>
      <w:r>
        <w:rPr>
          <w:b/>
        </w:rPr>
        <w:t xml:space="preserve">06  </w:t>
      </w:r>
      <w:r>
        <w:t>One Screenshot, Ten Controls, Zero Owners</w:t>
      </w:r>
    </w:p>
    <w:p>
      <w:pPr>
        <w:pStyle w:val="WackFinePrint"/>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SEASON 1 / FILE 01 / WACK-CONTENT-0060</w:t>
      </w:r>
    </w:p>
    <w:p>
      <w:pPr>
        <w:pStyle w:val="Heading1"/>
      </w:pPr>
      <w:r>
        <w:t>THE SERVER THAT WAS OUT OF SCOPE UNTIL PATCH TUESDAY</w:t>
      </w:r>
    </w:p>
    <w:p>
      <w:pPr>
        <w:pStyle w:val="WackDeck"/>
        <w:keepNext w:val="0"/>
        <w:keepLines/>
        <w:widowControl/>
      </w:pPr>
      <w:r>
        <w:t>A scope label held for eleven months. Then one maintenance window exposed the administrative path everybody had stopped seeing.</w:t>
      </w:r>
    </w:p>
    <w:p>
      <w:pPr>
        <w:pStyle w:val="WackKicker"/>
        <w:keepNext/>
        <w:keepLines/>
        <w:widowControl/>
      </w:pPr>
      <w:r>
        <w:t>COLD OPEN</w:t>
      </w:r>
    </w:p>
    <w:p>
      <w:pPr>
        <w:pStyle w:val="WackCallout"/>
        <w:keepNext w:val="0"/>
        <w:keepLines/>
        <w:widowControl/>
        <w:shd w:fill="EEF2F3"/>
      </w:pPr>
      <w:r>
        <w:t>The server was out of scope on Monday, patched by the CDE team on Tuesday, and out of scope again by Wednesday morning.</w:t>
      </w:r>
    </w:p>
    <w:p>
      <w:pPr>
        <w:pStyle w:val="WackKicker"/>
        <w:keepNext/>
        <w:keepLines/>
        <w:widowControl/>
      </w:pPr>
      <w:r>
        <w:t>THE SCENE</w:t>
      </w:r>
    </w:p>
    <w:p>
      <w:pPr>
        <w:keepNext w:val="0"/>
        <w:keepLines/>
        <w:widowControl/>
        <w:jc w:val="both"/>
      </w:pPr>
      <w:r>
        <w:t>Nobody in the room was trying to hide anything. The server sat in a corporate services segment, carried no payment data, and appeared in the scope workbook with a reassuring gray fill. The architecture diagram placed it beyond the bold red boundary. Its name rarely appeared in assessment conversations because everyone had learned the same sentence: it does not store, process, or transmit cardholder data.</w:t>
      </w:r>
    </w:p>
    <w:p>
      <w:pPr>
        <w:keepNext w:val="0"/>
        <w:keepLines/>
        <w:widowControl/>
        <w:jc w:val="both"/>
      </w:pPr>
      <w:r>
        <w:t>The sentence was accurate and incomplete. The server hosted the management utility used to distribute patches to several environments. One of those environments contained systems the team did consider in scope. The utility account, network path, approval workflow, and emergency-access process had evolved over years, but the scope story had stayed frozen at the question of where payment data lived.</w:t>
      </w:r>
    </w:p>
    <w:p>
      <w:pPr>
        <w:pStyle w:val="WackKicker"/>
        <w:keepNext/>
        <w:keepLines/>
        <w:widowControl/>
      </w:pPr>
      <w:r>
        <w:t>NARRATIVE TURN / 01</w:t>
      </w:r>
    </w:p>
    <w:p>
      <w:pPr>
        <w:pStyle w:val="Heading1"/>
      </w:pPr>
      <w:r>
        <w:t>The maintenance window</w:t>
      </w:r>
    </w:p>
    <w:p>
      <w:pPr>
        <w:keepNext w:val="0"/>
        <w:keepLines/>
        <w:widowControl/>
        <w:jc w:val="both"/>
      </w:pPr>
      <w:r>
        <w:t>The contradiction surfaced during a routine patching call. An engineer shared a screen, opened the management console, selected an in-scope server group, and scheduled the deployment. The assessor asked a plain question: where is that console hosted? The room answered with three versions of the same pause. One person said corporate IT. Another named the gray server. A third said the platform team owned it now.</w:t>
      </w:r>
    </w:p>
    <w:p>
      <w:pPr>
        <w:keepNext w:val="0"/>
        <w:keepLines/>
        <w:widowControl/>
        <w:jc w:val="both"/>
      </w:pPr>
      <w:r>
        <w:t>The worksheet still said out of scope. The live demonstration showed an administrative relationship. Neither fact automatically settled the compliance conclusion, but together they proved the existing rationale was too thin. The team had documented data location while leaving security impact, privileged reach, and operational dependency in the oral tradition.</w:t>
      </w:r>
    </w:p>
    <w:p>
      <w:pPr>
        <w:pStyle w:val="WackKicker"/>
        <w:keepNext/>
        <w:keepLines/>
        <w:widowControl/>
      </w:pPr>
      <w:r>
        <w:t>NARRATIVE TURN / 02</w:t>
      </w:r>
    </w:p>
    <w:p>
      <w:pPr>
        <w:pStyle w:val="Heading1"/>
      </w:pPr>
      <w:r>
        <w:t>The ownership relay</w:t>
      </w:r>
    </w:p>
    <w:p>
      <w:pPr>
        <w:keepNext w:val="0"/>
        <w:keepLines/>
        <w:widowControl/>
        <w:jc w:val="both"/>
      </w:pPr>
      <w:r>
        <w:t>The next meeting became a relay race. Corporate IT owned the operating system. The platform team owned the utility. Security approved the service account. Network engineering maintained the path. The CDE team chose the deployment rings. Everyone owned a verb, but nobody owned the complete relationship or the decision about what that relationship meant.</w:t>
      </w:r>
    </w:p>
    <w:p>
      <w:pPr>
        <w:keepNext w:val="0"/>
        <w:keepLines/>
        <w:widowControl/>
        <w:jc w:val="both"/>
      </w:pPr>
      <w:r>
        <w:t>Because no single owner could change the whole path, the gray classification acquired Wack Gravity. New systems joined the utility because it already existed. New engineers inherited the phrase out of scope because it was already printed. The label became easier to repeat precisely as the architecture beneath it became harder to explain.</w:t>
      </w:r>
    </w:p>
    <w:p>
      <w:pPr>
        <w:pStyle w:val="WackKicker"/>
        <w:keepNext/>
        <w:keepLines/>
        <w:widowControl/>
      </w:pPr>
      <w:r>
        <w:t>NARRATIVE TURN / 03</w:t>
      </w:r>
    </w:p>
    <w:p>
      <w:pPr>
        <w:pStyle w:val="Heading1"/>
      </w:pPr>
      <w:r>
        <w:t>The box opens</w:t>
      </w:r>
    </w:p>
    <w:p>
      <w:pPr>
        <w:keepNext w:val="0"/>
        <w:keepLines/>
        <w:widowControl/>
        <w:jc w:val="both"/>
      </w:pPr>
      <w:r>
        <w:t>The breakthrough was not a debate over color coding. The team drew one path: utility server, service account, management network, target group, change approval, deployment evidence. They marked known facts in white, assumptions in orange, and decisions in red. For the first time, the diagram showed both the technical reach and the human handoffs.</w:t>
      </w:r>
    </w:p>
    <w:p>
      <w:pPr>
        <w:keepNext w:val="0"/>
        <w:keepLines/>
        <w:widowControl/>
        <w:jc w:val="both"/>
      </w:pPr>
      <w:r>
        <w:t>That map did not magically announce a scope answer. It did something more useful: it made the answerable questions visible. Could the path be constrained? Was the utility necessary for every target? Which controls depended on it? What evidence showed its operation? Who could accept the remaining design? The team finally had a scope story instead of a scope adjective.</w:t>
      </w:r>
    </w:p>
    <w:p>
      <w:pPr>
        <w:pStyle w:val="WackKicker"/>
        <w:keepNext/>
        <w:keepLines/>
        <w:widowControl/>
      </w:pPr>
      <w:r>
        <w:t>WHAT THE TEAM FINALLY SAW</w:t>
      </w:r>
    </w:p>
    <w:p>
      <w:pPr>
        <w:pStyle w:val="WackCallout"/>
        <w:shd w:fill="FFF1E7"/>
        <w:keepNext w:val="0"/>
        <w:keepLines/>
        <w:widowControl/>
        <w:pBdr>
          <w:bottom w:val="single" w:sz="18" w:space="5" w:color="FF882B"/>
        </w:pBdr>
      </w:pPr>
      <w:r>
        <w:t>The Wack was not that a corporate server had been mislabeled by careless people. The Wack was that one narrow truth—no payment data lives here—had been promoted into a complete boundary decision. The administrative path, inherited permissions, and divided ownership were real architecture even when they did not fit neatly in the scope workbook. Once the team separated facts from conclusions, they could evaluate the relationship, reduce unnecessary reach, and document a rationale that would survive past the people in the meeting.</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Start with the exact sentence used to exclude the system. List what that sentence proves and what it leaves unanswered. Then observe one real maintenance, authentication, monitoring, or deployment workflow instead of relying on the label.</w:t>
      </w:r>
    </w:p>
    <w:p>
      <w:pPr>
        <w:pStyle w:val="Heading2"/>
        <w:keepNext/>
        <w:keepLines/>
        <w:widowControl/>
      </w:pPr>
      <w:r>
        <w:t>02 / MAP</w:t>
      </w:r>
    </w:p>
    <w:p>
      <w:pPr>
        <w:keepNext w:val="0"/>
        <w:keepLines/>
        <w:widowControl/>
        <w:jc w:val="both"/>
      </w:pPr>
      <w:r>
        <w:t>Draw the administrative path end to end: initiating user, account, management service, network route, target population, approval, logging, and evidence. Mark disputed edges and inherited access explicitly.</w:t>
      </w:r>
    </w:p>
    <w:p>
      <w:pPr>
        <w:pStyle w:val="Heading2"/>
        <w:keepNext/>
        <w:keepLines/>
        <w:widowControl/>
      </w:pPr>
      <w:r>
        <w:t>03 / EXPLAIN</w:t>
      </w:r>
    </w:p>
    <w:p>
      <w:pPr>
        <w:keepNext w:val="0"/>
        <w:keepLines/>
        <w:widowControl/>
        <w:jc w:val="both"/>
      </w:pPr>
      <w:r>
        <w:t>Assign separate owners for the system, the path, the scope rationale, and the next decision. Write why the relationship exists today, not why someone remembers creating it years ago.</w:t>
      </w:r>
    </w:p>
    <w:p>
      <w:pPr>
        <w:pStyle w:val="Heading2"/>
        <w:keepNext/>
        <w:keepLines/>
        <w:widowControl/>
      </w:pPr>
      <w:r>
        <w:t>04 / REDUCE</w:t>
      </w:r>
    </w:p>
    <w:p>
      <w:pPr>
        <w:keepNext w:val="0"/>
        <w:keepLines/>
        <w:widowControl/>
        <w:jc w:val="both"/>
      </w:pPr>
      <w:r>
        <w:t>Remove targets that do not need the shared utility, narrow permissions, constrain the network path, or replace shared administration with a bounded pattern. Reduction should change the map, not merely the prose.</w:t>
      </w:r>
    </w:p>
    <w:p>
      <w:pPr>
        <w:pStyle w:val="Heading2"/>
        <w:keepNext/>
        <w:keepLines/>
        <w:widowControl/>
      </w:pPr>
      <w:r>
        <w:t>05 / PROVE</w:t>
      </w:r>
    </w:p>
    <w:p>
      <w:pPr>
        <w:keepNext w:val="0"/>
        <w:keepLines/>
        <w:widowControl/>
        <w:jc w:val="both"/>
      </w:pPr>
      <w:r>
        <w:t>Retain the dated diagram, configuration evidence, access decision, operating record, and review trigger together. A future reviewer should be able to reconstruct the story without summoning the original meeting.</w:t>
      </w:r>
    </w:p>
    <w:p>
      <w:pPr>
        <w:pStyle w:val="WackKicker"/>
        <w:keepNext/>
        <w:keepLines/>
        <w:widowControl/>
      </w:pPr>
      <w:r>
        <w:t>FIELD NOTES</w:t>
      </w:r>
    </w:p>
    <w:p>
      <w:pPr>
        <w:pStyle w:val="ListBullet"/>
        <w:keepNext w:val="0"/>
        <w:keepLines/>
        <w:widowControl/>
        <w:ind w:left="346" w:hanging="259"/>
      </w:pPr>
      <w:r>
        <w:t>A system can matter to the scope story without storing payment data.</w:t>
      </w:r>
    </w:p>
    <w:p>
      <w:pPr>
        <w:pStyle w:val="ListBullet"/>
        <w:keepNext w:val="0"/>
        <w:keepLines/>
        <w:widowControl/>
        <w:ind w:left="346" w:hanging="259"/>
      </w:pPr>
      <w:r>
        <w:t>Administrative reach is architecture, even when it appears only during maintenance.</w:t>
      </w:r>
    </w:p>
    <w:p>
      <w:pPr>
        <w:pStyle w:val="ListBullet"/>
        <w:keepNext w:val="0"/>
        <w:keepLines/>
        <w:widowControl/>
        <w:ind w:left="346" w:hanging="259"/>
      </w:pPr>
      <w:r>
        <w:t>Distributed operational ownership still needs one accountable decision owner.</w:t>
      </w:r>
    </w:p>
    <w:p>
      <w:pPr>
        <w:pStyle w:val="ListBullet"/>
        <w:keepNext w:val="0"/>
        <w:keepLines/>
        <w:widowControl/>
        <w:ind w:left="346" w:hanging="259"/>
      </w:pPr>
      <w:r>
        <w:t>Out of scope should be the end of a rationale, never the substitute for one.</w:t>
      </w:r>
    </w:p>
    <w:p>
      <w:pPr>
        <w:pStyle w:val="WackKicker"/>
        <w:keepNext/>
        <w:keepLines/>
        <w:widowControl/>
      </w:pPr>
      <w:r>
        <w:t>WHAT CHANGED</w:t>
      </w:r>
    </w:p>
    <w:p>
      <w:pPr>
        <w:keepNext w:val="0"/>
        <w:keepLines/>
        <w:widowControl/>
        <w:jc w:val="both"/>
      </w:pPr>
      <w:r>
        <w:t>The team ultimately split the utility population, narrowed the service account, documented the remaining path, and gave the rationale an owner and review trigger. The most valuable outcome was not the new color of one spreadsheet cell. It was that architecture, operations, and assessment language finally described the same relationship.</w:t>
      </w:r>
    </w:p>
    <w:p>
      <w:pPr>
        <w:keepNext w:val="0"/>
        <w:keepLines/>
        <w:widowControl/>
        <w:jc w:val="both"/>
      </w:pPr>
      <w:r>
        <w:t>On the next patch Tuesday, nobody had to explain why the server was simultaneously outside the boundary and inside the maintenance plan. The team could show the path, the constraints, the decision, and the evidence. The box had been opened—and it contained a map.</w:t>
      </w:r>
    </w:p>
    <w:p>
      <w:pPr>
        <w:pStyle w:val="WackCallout"/>
        <w:shd w:fill="EEF2F3"/>
        <w:keepNext w:val="0"/>
        <w:keepLines/>
        <w:widowControl/>
        <w:pBdr>
          <w:bottom w:val="single" w:sz="18" w:space="5" w:color="11C7B6"/>
        </w:pBdr>
      </w:pPr>
      <w:r>
        <w:t>Choose one supposedly out-of-scope management system and trace one real administrative workflow before the next scope meeting.</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SEASON 1 / FILE 02 / WACK-CONTENT-0061</w:t>
      </w:r>
    </w:p>
    <w:p>
      <w:pPr>
        <w:pStyle w:val="Heading1"/>
      </w:pPr>
      <w:r>
        <w:t>THE GREEN DASHBOARD AND THE MISSING POPULATION</w:t>
      </w:r>
    </w:p>
    <w:p>
      <w:pPr>
        <w:pStyle w:val="WackDeck"/>
        <w:keepNext w:val="0"/>
        <w:keepLines/>
        <w:widowControl/>
      </w:pPr>
      <w:r>
        <w:t>Every tile passed. The only thing missing was a shared understanding of what had actually been tested.</w:t>
      </w:r>
    </w:p>
    <w:p>
      <w:pPr>
        <w:pStyle w:val="WackKicker"/>
        <w:keepNext/>
        <w:keepLines/>
        <w:widowControl/>
      </w:pPr>
      <w:r>
        <w:t>COLD OPEN</w:t>
      </w:r>
    </w:p>
    <w:p>
      <w:pPr>
        <w:pStyle w:val="WackCallout"/>
        <w:keepNext w:val="0"/>
        <w:keepLines/>
        <w:widowControl/>
        <w:shd w:fill="EEF2F3"/>
      </w:pPr>
      <w:r>
        <w:t>The dashboard had forty-seven green tiles, three executive fans, and no one in the meeting who could name the population behind tile number nineteen.</w:t>
      </w:r>
    </w:p>
    <w:p>
      <w:pPr>
        <w:pStyle w:val="WackKicker"/>
        <w:keepNext/>
        <w:keepLines/>
        <w:widowControl/>
      </w:pPr>
      <w:r>
        <w:t>THE SCENE</w:t>
      </w:r>
    </w:p>
    <w:p>
      <w:pPr>
        <w:keepNext w:val="0"/>
        <w:keepLines/>
        <w:widowControl/>
        <w:jc w:val="both"/>
      </w:pPr>
      <w:r>
        <w:t>The assurance program looked unusually calm. A weekly report arrived on schedule, control owners received cheerful summaries, and leadership saw a wall of green that appeared to answer every uncomfortable question before it could be asked. The dashboard was not fabricated. It was fed by real scans, tickets, inventories, and workflow data. The team had invested serious effort in building it.</w:t>
      </w:r>
    </w:p>
    <w:p>
      <w:pPr>
        <w:keepNext w:val="0"/>
        <w:keepLines/>
        <w:widowControl/>
        <w:jc w:val="both"/>
      </w:pPr>
      <w:r>
        <w:t>What the dashboard concealed was not failure but variation. Several business units used different asset sources. Acquired environments joined on delayed schedules. Cloud accounts appeared through one integration while inherited appliances appeared through another. A green tile meant the query returned a favorable result for the records it received. It did not mean the team had established that those records represented the population everyone thought they were discussing.</w:t>
      </w:r>
    </w:p>
    <w:p>
      <w:pPr>
        <w:pStyle w:val="WackKicker"/>
        <w:keepNext/>
        <w:keepLines/>
        <w:widowControl/>
      </w:pPr>
      <w:r>
        <w:t>NARRATIVE TURN / 01</w:t>
      </w:r>
    </w:p>
    <w:p>
      <w:pPr>
        <w:pStyle w:val="Heading1"/>
      </w:pPr>
      <w:r>
        <w:t>The simple question</w:t>
      </w:r>
    </w:p>
    <w:p>
      <w:pPr>
        <w:keepNext w:val="0"/>
        <w:keepLines/>
        <w:widowControl/>
        <w:jc w:val="both"/>
      </w:pPr>
      <w:r>
        <w:t>The trouble began when a reviewer asked for the denominator. Tile nineteen showed 100 percent completion. One analyst said it covered production servers. Another said it covered assets enrolled in the endpoint platform. A third opened the query and discovered it covered active records in one inventory table with a particular ownership tag. All three descriptions sounded adjacent. They were not equivalent.</w:t>
      </w:r>
    </w:p>
    <w:p>
      <w:pPr>
        <w:keepNext w:val="0"/>
        <w:keepLines/>
        <w:widowControl/>
        <w:jc w:val="both"/>
      </w:pPr>
      <w:r>
        <w:t>The team downloaded the source rows and compared them with the architecture inventory. The dashboard had tested every record it had been configured to test. It had also never seen two inherited network zones, a recently acquired cloud account, or devices whose ownership tags were blank. Green accurately described the selected dataset. It said nothing about the missing population.</w:t>
      </w:r>
    </w:p>
    <w:p>
      <w:pPr>
        <w:pStyle w:val="WackKicker"/>
        <w:keepNext/>
        <w:keepLines/>
        <w:widowControl/>
      </w:pPr>
      <w:r>
        <w:t>NARRATIVE TURN / 02</w:t>
      </w:r>
    </w:p>
    <w:p>
      <w:pPr>
        <w:pStyle w:val="Heading1"/>
      </w:pPr>
      <w:r>
        <w:t>The evidence echo</w:t>
      </w:r>
    </w:p>
    <w:p>
      <w:pPr>
        <w:keepNext w:val="0"/>
        <w:keepLines/>
        <w:widowControl/>
        <w:jc w:val="both"/>
      </w:pPr>
      <w:r>
        <w:t>Because tile nineteen looked authoritative, it had been reused. A screenshot appeared in three control narratives, two committee decks, and an evidence package. Each reuse acquired a slightly broader caption. Endpoint completion became server coverage. Server coverage became infrastructure coverage. Infrastructure coverage became evidence that the environment was complete.</w:t>
      </w:r>
    </w:p>
    <w:p>
      <w:pPr>
        <w:keepNext w:val="0"/>
        <w:keepLines/>
        <w:widowControl/>
        <w:jc w:val="both"/>
      </w:pPr>
      <w:r>
        <w:t>No individual reuse seemed reckless. The screenshot was current, legible, and green. The Wack accumulated in the distance between the original query and the claims later attached to it. One result had become an Evidence Echo: repeated often enough that nobody returned to the source to ask what the signal could and could not prove.</w:t>
      </w:r>
    </w:p>
    <w:p>
      <w:pPr>
        <w:pStyle w:val="WackKicker"/>
        <w:keepNext/>
        <w:keepLines/>
        <w:widowControl/>
      </w:pPr>
      <w:r>
        <w:t>NARRATIVE TURN / 03</w:t>
      </w:r>
    </w:p>
    <w:p>
      <w:pPr>
        <w:pStyle w:val="Heading1"/>
      </w:pPr>
      <w:r>
        <w:t>Following the green backward</w:t>
      </w:r>
    </w:p>
    <w:p>
      <w:pPr>
        <w:keepNext w:val="0"/>
        <w:keepLines/>
        <w:widowControl/>
        <w:jc w:val="both"/>
      </w:pPr>
      <w:r>
        <w:t>The team chose one tile and walked backward. They documented the displayed metric, query logic, source table, inclusion filters, excluded records, refresh time, exception behavior, and accountable owner. Then they walked forward: which narratives, decisions, and reports relied on the result? The exercise took less than an hour and changed five documents.</w:t>
      </w:r>
    </w:p>
    <w:p>
      <w:pPr>
        <w:keepNext w:val="0"/>
        <w:keepLines/>
        <w:widowControl/>
        <w:jc w:val="both"/>
      </w:pPr>
      <w:r>
        <w:t>The most important discovery was that the tool was working as designed. The problem lived in the unowned translation between telemetry and assurance. Once that translation became an artifact, the team could reconcile inventories, represent the missing variants, and state precisely what the tile meant. Green survived—but it became a conclusion with provenance instead of a color with charisma.</w:t>
      </w:r>
    </w:p>
    <w:p>
      <w:pPr>
        <w:pStyle w:val="WackKicker"/>
        <w:keepNext/>
        <w:keepLines/>
        <w:widowControl/>
      </w:pPr>
      <w:r>
        <w:t>WHAT THE TEAM FINALLY SAW</w:t>
      </w:r>
    </w:p>
    <w:p>
      <w:pPr>
        <w:pStyle w:val="WackCallout"/>
        <w:shd w:fill="FFF1E7"/>
        <w:keepNext w:val="0"/>
        <w:keepLines/>
        <w:widowControl/>
        <w:pBdr>
          <w:bottom w:val="single" w:sz="18" w:space="5" w:color="FF882B"/>
        </w:pBdr>
      </w:pPr>
      <w:r>
        <w:t>Dashboard Delusion does not require a bad dashboard. It appears when a summarized status is asked to carry an unstated population, method, period, exception path, and conclusion. Sampling Mirage and Evidence Echo then amplify the gap: the unseen assets stay unseen, while the same clean result spreads across increasingly ambitious claims. The fix is not to distrust automation. It is to make the evidence chain visible enough that a human can explain every translation.</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Select the most reused green result, not the ugliest one. Write down every sentence the organization currently uses that result to support. Different captions often reveal the first evidence gap.</w:t>
      </w:r>
    </w:p>
    <w:p>
      <w:pPr>
        <w:pStyle w:val="Heading2"/>
        <w:keepNext/>
        <w:keepLines/>
        <w:widowControl/>
      </w:pPr>
      <w:r>
        <w:t>02 / MAP</w:t>
      </w:r>
    </w:p>
    <w:p>
      <w:pPr>
        <w:keepNext w:val="0"/>
        <w:keepLines/>
        <w:widowControl/>
        <w:jc w:val="both"/>
      </w:pPr>
      <w:r>
        <w:t>Trace the result backward through display logic, query, filters, data source, population, refresh timing, and exceptions. Trace it forward to every narrative, report, and decision that depends on it.</w:t>
      </w:r>
    </w:p>
    <w:p>
      <w:pPr>
        <w:pStyle w:val="Heading2"/>
        <w:keepNext/>
        <w:keepLines/>
        <w:widowControl/>
      </w:pPr>
      <w:r>
        <w:t>03 / EXPLAIN</w:t>
      </w:r>
    </w:p>
    <w:p>
      <w:pPr>
        <w:keepNext w:val="0"/>
        <w:keepLines/>
        <w:widowControl/>
        <w:jc w:val="both"/>
      </w:pPr>
      <w:r>
        <w:t>Name the owner of the source data, the test logic, the assurance interpretation, and the remediation path. State what the result proves, the period it covers, and the claims it cannot support.</w:t>
      </w:r>
    </w:p>
    <w:p>
      <w:pPr>
        <w:pStyle w:val="Heading2"/>
        <w:keepNext/>
        <w:keepLines/>
        <w:widowControl/>
      </w:pPr>
      <w:r>
        <w:t>04 / REDUCE</w:t>
      </w:r>
    </w:p>
    <w:p>
      <w:pPr>
        <w:keepNext w:val="0"/>
        <w:keepLines/>
        <w:widowControl/>
        <w:jc w:val="both"/>
      </w:pPr>
      <w:r>
        <w:t>Retire duplicate screenshots, reconcile competing inventories, correct misleading labels, and link consumers to one governed evidence record. A shorter chain is easier to test and harder to exaggerate.</w:t>
      </w:r>
    </w:p>
    <w:p>
      <w:pPr>
        <w:pStyle w:val="Heading2"/>
        <w:keepNext/>
        <w:keepLines/>
        <w:widowControl/>
      </w:pPr>
      <w:r>
        <w:t>05 / PROVE</w:t>
      </w:r>
    </w:p>
    <w:p>
      <w:pPr>
        <w:keepNext w:val="0"/>
        <w:keepLines/>
        <w:widowControl/>
        <w:jc w:val="both"/>
      </w:pPr>
      <w:r>
        <w:t>Preserve the population extract, query or test method, execution time, result, exceptions, review record, and downstream usage. The evidence should remain understandable after the dashboard changes color.</w:t>
      </w:r>
    </w:p>
    <w:p>
      <w:pPr>
        <w:pStyle w:val="WackKicker"/>
        <w:keepNext/>
        <w:keepLines/>
        <w:widowControl/>
      </w:pPr>
      <w:r>
        <w:t>FIELD NOTES</w:t>
      </w:r>
    </w:p>
    <w:p>
      <w:pPr>
        <w:pStyle w:val="ListBullet"/>
        <w:keepNext w:val="0"/>
        <w:keepLines/>
        <w:widowControl/>
        <w:ind w:left="346" w:hanging="259"/>
      </w:pPr>
      <w:r>
        <w:t>A complete test of an incomplete population is still an incomplete story.</w:t>
      </w:r>
    </w:p>
    <w:p>
      <w:pPr>
        <w:pStyle w:val="ListBullet"/>
        <w:keepNext w:val="0"/>
        <w:keepLines/>
        <w:widowControl/>
        <w:ind w:left="346" w:hanging="259"/>
      </w:pPr>
      <w:r>
        <w:t>A dashboard is an interface to evidence, not evidence provenance by itself.</w:t>
      </w:r>
    </w:p>
    <w:p>
      <w:pPr>
        <w:pStyle w:val="ListBullet"/>
        <w:keepNext w:val="0"/>
        <w:keepLines/>
        <w:widowControl/>
        <w:ind w:left="346" w:hanging="259"/>
      </w:pPr>
      <w:r>
        <w:t>Every reused result needs a declared claim boundary.</w:t>
      </w:r>
    </w:p>
    <w:p>
      <w:pPr>
        <w:pStyle w:val="ListBullet"/>
        <w:keepNext w:val="0"/>
        <w:keepLines/>
        <w:widowControl/>
        <w:ind w:left="346" w:hanging="259"/>
      </w:pPr>
      <w:r>
        <w:t>Green is most useful when the team can explain exactly what turned it green.</w:t>
      </w:r>
    </w:p>
    <w:p>
      <w:pPr>
        <w:pStyle w:val="WackKicker"/>
        <w:keepNext/>
        <w:keepLines/>
        <w:widowControl/>
      </w:pPr>
      <w:r>
        <w:t>WHAT CHANGED</w:t>
      </w:r>
    </w:p>
    <w:p>
      <w:pPr>
        <w:keepNext w:val="0"/>
        <w:keepLines/>
        <w:widowControl/>
        <w:jc w:val="both"/>
      </w:pPr>
      <w:r>
        <w:t>The team did not throw away the dashboard. They made it better by attaching population definitions, freshness indicators, exception counts, and evidence links to the highest-impact tiles. They also retired the screenshots whose captions had outgrown the result. Leadership still saw green, amber, and red—but now those colors led somewhere.</w:t>
      </w:r>
    </w:p>
    <w:p>
      <w:pPr>
        <w:keepNext w:val="0"/>
        <w:keepLines/>
        <w:widowControl/>
        <w:jc w:val="both"/>
      </w:pPr>
      <w:r>
        <w:t>Tile nineteen ended the quarter at 93 percent instead of 100. Strangely, confidence in the program went up. The number had become less flattering and more trustworthy. The dashboard stopped pretending to be the whole control and started doing its real job: helping people find the evidence chain.</w:t>
      </w:r>
    </w:p>
    <w:p>
      <w:pPr>
        <w:pStyle w:val="WackCallout"/>
        <w:shd w:fill="EEF2F3"/>
        <w:keepNext w:val="0"/>
        <w:keepLines/>
        <w:widowControl/>
        <w:pBdr>
          <w:bottom w:val="single" w:sz="18" w:space="5" w:color="11C7B6"/>
        </w:pBdr>
      </w:pPr>
      <w:r>
        <w:t>Pick the green result your organization reuses most and trace it to its population, method, exceptions, period, and downstream claims.</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SEASON 1 / FILE 03 / WACK-CONTENT-0062</w:t>
      </w:r>
    </w:p>
    <w:p>
      <w:pPr>
        <w:pStyle w:val="Heading1"/>
      </w:pPr>
      <w:r>
        <w:t>THE VENDOR AOC THAT ANSWERED THE WRONG QUESTION</w:t>
      </w:r>
    </w:p>
    <w:p>
      <w:pPr>
        <w:pStyle w:val="WackDeck"/>
        <w:keepNext w:val="0"/>
        <w:keepLines/>
        <w:widowControl/>
      </w:pPr>
      <w:r>
        <w:t>The document was current, authentic, and relevant to the provider. It still could not explain the customer’s half of the service.</w:t>
      </w:r>
    </w:p>
    <w:p>
      <w:pPr>
        <w:pStyle w:val="WackKicker"/>
        <w:keepNext/>
        <w:keepLines/>
        <w:widowControl/>
      </w:pPr>
      <w:r>
        <w:t>COLD OPEN</w:t>
      </w:r>
    </w:p>
    <w:p>
      <w:pPr>
        <w:pStyle w:val="WackCallout"/>
        <w:keepNext w:val="0"/>
        <w:keepLines/>
        <w:widowControl/>
        <w:shd w:fill="EEF2F3"/>
      </w:pPr>
      <w:r>
        <w:t>The vendor sent the AOC in eleven minutes. The team spent the next eleven weeks trying to make it answer a responsibility question it had never been designed to answer.</w:t>
      </w:r>
    </w:p>
    <w:p>
      <w:pPr>
        <w:pStyle w:val="WackKicker"/>
        <w:keepNext/>
        <w:keepLines/>
        <w:widowControl/>
      </w:pPr>
      <w:r>
        <w:t>THE SCENE</w:t>
      </w:r>
    </w:p>
    <w:p>
      <w:pPr>
        <w:keepNext w:val="0"/>
        <w:keepLines/>
        <w:widowControl/>
        <w:jc w:val="both"/>
      </w:pPr>
      <w:r>
        <w:t>The service provider was responsive, established, and central to the payment flow. Procurement had the contract. Security had the due-diligence packet. Compliance had a current attestation. The architecture diagram showed a neat cloud around the provider with one arrow entering and another leaving. Whenever responsibility came up, somebody pointed to the cloud and said the vendor handles that.</w:t>
      </w:r>
    </w:p>
    <w:p>
      <w:pPr>
        <w:keepNext w:val="0"/>
        <w:keepLines/>
        <w:widowControl/>
        <w:jc w:val="both"/>
      </w:pPr>
      <w:r>
        <w:t>The sentence compressed several different ideas. The provider operated a service. The customer configured part of that service. An internal team decided which events entered it. Another team reviewed alerts. A separate group retained evidence. The AOC described the provider’s assessed services and conclusions. It did not assign the customer’s configuration, monitoring, escalation, or evidence duties for this particular implementation.</w:t>
      </w:r>
    </w:p>
    <w:p>
      <w:pPr>
        <w:pStyle w:val="WackKicker"/>
        <w:keepNext/>
        <w:keepLines/>
        <w:widowControl/>
      </w:pPr>
      <w:r>
        <w:t>NARRATIVE TURN / 01</w:t>
      </w:r>
    </w:p>
    <w:p>
      <w:pPr>
        <w:pStyle w:val="Heading1"/>
      </w:pPr>
      <w:r>
        <w:t>The request that bounced</w:t>
      </w:r>
    </w:p>
    <w:p>
      <w:pPr>
        <w:keepNext w:val="0"/>
        <w:keepLines/>
        <w:widowControl/>
        <w:jc w:val="both"/>
      </w:pPr>
      <w:r>
        <w:t>A reviewer requested evidence for a monitoring activity. The internal owner sent the provider AOC. The reviewer asked where the customer responsibility was described. Compliance sent the contract. The contract named the service but not the operating control. Procurement sent the security exhibit. The exhibit promised capabilities but did not show who configured or reviewed them.</w:t>
      </w:r>
    </w:p>
    <w:p>
      <w:pPr>
        <w:keepNext w:val="0"/>
        <w:keepLines/>
        <w:widowControl/>
        <w:jc w:val="both"/>
      </w:pPr>
      <w:r>
        <w:t>The request bounced among four teams because every document was real and none was the missing artifact. Each handoff widened Ownership Fog. People could identify who purchased the service, who administered it, who met with the vendor, and who received the bill. Nobody could point to one requirement-level or activity-level map showing the provider side, customer side, shared steps, and evidence source.</w:t>
      </w:r>
    </w:p>
    <w:p>
      <w:pPr>
        <w:pStyle w:val="WackKicker"/>
        <w:keepNext/>
        <w:keepLines/>
        <w:widowControl/>
      </w:pPr>
      <w:r>
        <w:t>NARRATIVE TURN / 02</w:t>
      </w:r>
    </w:p>
    <w:p>
      <w:pPr>
        <w:pStyle w:val="Heading1"/>
      </w:pPr>
      <w:r>
        <w:t>The N/A shortcut</w:t>
      </w:r>
    </w:p>
    <w:p>
      <w:pPr>
        <w:keepNext w:val="0"/>
        <w:keepLines/>
        <w:widowControl/>
        <w:jc w:val="both"/>
      </w:pPr>
      <w:r>
        <w:t>Under deadline pressure, someone proposed marking the activity not applicable internally because the provider performed it. That conclusion felt efficient, but it repeated the original mistake. The question was not whether the provider did something related. The question was which exact activity the implementation required from each party and what facts supported that division.</w:t>
      </w:r>
    </w:p>
    <w:p>
      <w:pPr>
        <w:keepNext w:val="0"/>
        <w:keepLines/>
        <w:widowControl/>
        <w:jc w:val="both"/>
      </w:pPr>
      <w:r>
        <w:t>The team opened the service documentation, contract, AOC, configuration screens, runbook, and alert queue together. The documents stopped competing once each was allowed to answer its own question. The AOC supported what had been assessed about the provider. The configuration showed what the customer enabled. The runbook showed who reviewed events. The queue showed how exceptions moved.</w:t>
      </w:r>
    </w:p>
    <w:p>
      <w:pPr>
        <w:pStyle w:val="WackKicker"/>
        <w:keepNext/>
        <w:keepLines/>
        <w:widowControl/>
      </w:pPr>
      <w:r>
        <w:t>NARRATIVE TURN / 03</w:t>
      </w:r>
    </w:p>
    <w:p>
      <w:pPr>
        <w:pStyle w:val="Heading1"/>
      </w:pPr>
      <w:r>
        <w:t>Turning the cloud into a seam</w:t>
      </w:r>
    </w:p>
    <w:p>
      <w:pPr>
        <w:keepNext w:val="0"/>
        <w:keepLines/>
        <w:widowControl/>
        <w:jc w:val="both"/>
      </w:pPr>
      <w:r>
        <w:t>Instead of drawing one cloud labeled vendor, the team drew a seam. On the left: provider-operated platform activities and provider evidence. On the right: customer configuration, data selection, review, escalation, and retention. In the center: shared activities that failed if either side assumed the other had completed the handoff.</w:t>
      </w:r>
    </w:p>
    <w:p>
      <w:pPr>
        <w:keepNext w:val="0"/>
        <w:keepLines/>
        <w:widowControl/>
        <w:jc w:val="both"/>
      </w:pPr>
      <w:r>
        <w:t>The responsibility map fit on two pages. It was less impressive than the AOC and more useful in the next meeting. Every row named the service activity, provider role, customer role, internal owner, evidence, and trigger for reassessment. The AOC remained important. It simply stopped being forced to impersonate a responsibility matrix.</w:t>
      </w:r>
    </w:p>
    <w:p>
      <w:pPr>
        <w:pStyle w:val="WackKicker"/>
        <w:keepNext/>
        <w:keepLines/>
        <w:widowControl/>
      </w:pPr>
      <w:r>
        <w:t>WHAT THE TEAM FINALLY SAW</w:t>
      </w:r>
    </w:p>
    <w:p>
      <w:pPr>
        <w:pStyle w:val="WackCallout"/>
        <w:shd w:fill="FFF1E7"/>
        <w:keepNext w:val="0"/>
        <w:keepLines/>
        <w:widowControl/>
        <w:pBdr>
          <w:bottom w:val="single" w:sz="18" w:space="5" w:color="FF882B"/>
        </w:pBdr>
      </w:pPr>
      <w:r>
        <w:t>Wack by TPSP appears when evidence about a provider is treated as proof of the customer’s complete operating model. The provider can be competent, the AOC can be valid, and the responsibility gap can still be wide open. The missing object is usually not another assurance document. It is a map of the specific service as implemented: who configures, who operates, who reviews, who responds, who retains evidence, and where the shared seams can fail.</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Collect the statements people use to transfer responsibility: the vendor handles it, it is covered by the AOC, or it is not applicable to us. Pair each statement with the exact service activity being discussed.</w:t>
      </w:r>
    </w:p>
    <w:p>
      <w:pPr>
        <w:pStyle w:val="Heading2"/>
        <w:keepNext/>
        <w:keepLines/>
        <w:widowControl/>
      </w:pPr>
      <w:r>
        <w:t>02 / MAP</w:t>
      </w:r>
    </w:p>
    <w:p>
      <w:pPr>
        <w:keepNext w:val="0"/>
        <w:keepLines/>
        <w:widowControl/>
        <w:jc w:val="both"/>
      </w:pPr>
      <w:r>
        <w:t>For every activity, record provider responsibility, customer responsibility, shared steps, internal owner, evidence source, and unresolved question. Map the implemented service, not the vendor’s marketing category.</w:t>
      </w:r>
    </w:p>
    <w:p>
      <w:pPr>
        <w:pStyle w:val="Heading2"/>
        <w:keepNext/>
        <w:keepLines/>
        <w:widowControl/>
      </w:pPr>
      <w:r>
        <w:t>03 / EXPLAIN</w:t>
      </w:r>
    </w:p>
    <w:p>
      <w:pPr>
        <w:keepNext w:val="0"/>
        <w:keepLines/>
        <w:widowControl/>
        <w:jc w:val="both"/>
      </w:pPr>
      <w:r>
        <w:t>Let each document answer its proper question. Separate assessed provider services, contractual promises, technical capabilities, customer configuration, operating procedure, and actual evidence instead of blending them into one proof object.</w:t>
      </w:r>
    </w:p>
    <w:p>
      <w:pPr>
        <w:pStyle w:val="Heading2"/>
        <w:keepNext/>
        <w:keepLines/>
        <w:widowControl/>
      </w:pPr>
      <w:r>
        <w:t>04 / REDUCE</w:t>
      </w:r>
    </w:p>
    <w:p>
      <w:pPr>
        <w:keepNext w:val="0"/>
        <w:keepLines/>
        <w:widowControl/>
        <w:jc w:val="both"/>
      </w:pPr>
      <w:r>
        <w:t>Eliminate ambiguous shared activities, duplicate reviewers, and undocumented handoffs. Where responsibility must remain shared, specify the event, artifact, or notification that proves the handoff occurred.</w:t>
      </w:r>
    </w:p>
    <w:p>
      <w:pPr>
        <w:pStyle w:val="Heading2"/>
        <w:keepNext/>
        <w:keepLines/>
        <w:widowControl/>
      </w:pPr>
      <w:r>
        <w:t>05 / PROVE</w:t>
      </w:r>
    </w:p>
    <w:p>
      <w:pPr>
        <w:keepNext w:val="0"/>
        <w:keepLines/>
        <w:widowControl/>
        <w:jc w:val="both"/>
      </w:pPr>
      <w:r>
        <w:t>Keep the current responsibility map with the contract, provider assurance material, configuration evidence, operating records, and review trigger. Update it when the service, implementation, or provider scope changes.</w:t>
      </w:r>
    </w:p>
    <w:p>
      <w:pPr>
        <w:pStyle w:val="WackKicker"/>
        <w:keepNext/>
        <w:keepLines/>
        <w:widowControl/>
      </w:pPr>
      <w:r>
        <w:t>FIELD NOTES</w:t>
      </w:r>
    </w:p>
    <w:p>
      <w:pPr>
        <w:pStyle w:val="ListBullet"/>
        <w:keepNext w:val="0"/>
        <w:keepLines/>
        <w:widowControl/>
        <w:ind w:left="346" w:hanging="259"/>
      </w:pPr>
      <w:r>
        <w:t>An AOC is evidence about an assessed provider, not a customer responsibility matrix.</w:t>
      </w:r>
    </w:p>
    <w:p>
      <w:pPr>
        <w:pStyle w:val="ListBullet"/>
        <w:keepNext w:val="0"/>
        <w:keepLines/>
        <w:widowControl/>
        <w:ind w:left="346" w:hanging="259"/>
      </w:pPr>
      <w:r>
        <w:t>The phrase vendor handles it should always be followed by which activity and which evidence.</w:t>
      </w:r>
    </w:p>
    <w:p>
      <w:pPr>
        <w:pStyle w:val="ListBullet"/>
        <w:keepNext w:val="0"/>
        <w:keepLines/>
        <w:widowControl/>
        <w:ind w:left="346" w:hanging="259"/>
      </w:pPr>
      <w:r>
        <w:t>Shared responsibility needs a visible handoff, not a shared assumption.</w:t>
      </w:r>
    </w:p>
    <w:p>
      <w:pPr>
        <w:pStyle w:val="ListBullet"/>
        <w:keepNext w:val="0"/>
        <w:keepLines/>
        <w:widowControl/>
        <w:ind w:left="346" w:hanging="259"/>
      </w:pPr>
      <w:r>
        <w:t>N/A is a conclusion supported by facts, not a deadline-management technique.</w:t>
      </w:r>
    </w:p>
    <w:p>
      <w:pPr>
        <w:pStyle w:val="WackKicker"/>
        <w:keepNext/>
        <w:keepLines/>
        <w:widowControl/>
      </w:pPr>
      <w:r>
        <w:t>WHAT CHANGED</w:t>
      </w:r>
    </w:p>
    <w:p>
      <w:pPr>
        <w:keepNext w:val="0"/>
        <w:keepLines/>
        <w:widowControl/>
        <w:jc w:val="both"/>
      </w:pPr>
      <w:r>
        <w:t>The evidence request closed after the internal team produced its configuration, review record, and escalation trail alongside the provider material. No heroic new control was invented. The team simply stopped asking one document to prove both sides of a relationship.</w:t>
      </w:r>
    </w:p>
    <w:p>
      <w:pPr>
        <w:keepNext w:val="0"/>
        <w:keepLines/>
        <w:widowControl/>
        <w:jc w:val="both"/>
      </w:pPr>
      <w:r>
        <w:t>At the next vendor review, the first agenda item was no longer please send the latest AOC. It was show us what changed in the service, the responsibility seam, and the evidence path. The cloud on the diagram remained. Now it had edges, owners, and a door.</w:t>
      </w:r>
    </w:p>
    <w:p>
      <w:pPr>
        <w:pStyle w:val="WackCallout"/>
        <w:shd w:fill="EEF2F3"/>
        <w:keepNext w:val="0"/>
        <w:keepLines/>
        <w:widowControl/>
        <w:pBdr>
          <w:bottom w:val="single" w:sz="18" w:space="5" w:color="11C7B6"/>
        </w:pBdr>
      </w:pPr>
      <w:r>
        <w:t>Choose one relied-upon provider service and map the provider, customer, and shared activities to named owners and evidence.</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SEASON 1 / FILE 04 / WACK-CONTENT-0063</w:t>
      </w:r>
    </w:p>
    <w:p>
      <w:pPr>
        <w:pStyle w:val="Heading1"/>
      </w:pPr>
      <w:r>
        <w:t>THE TEMPORARY FIREWALL RULE THAT BECAME ARCHITECTURE</w:t>
      </w:r>
    </w:p>
    <w:p>
      <w:pPr>
        <w:pStyle w:val="WackDeck"/>
        <w:keepNext w:val="0"/>
        <w:keepLines/>
        <w:widowControl/>
      </w:pPr>
      <w:r>
        <w:t>The exception had an expiration date. The dependencies it attracted did not.</w:t>
      </w:r>
    </w:p>
    <w:p>
      <w:pPr>
        <w:pStyle w:val="WackKicker"/>
        <w:keepNext/>
        <w:keepLines/>
        <w:widowControl/>
      </w:pPr>
      <w:r>
        <w:t>COLD OPEN</w:t>
      </w:r>
    </w:p>
    <w:p>
      <w:pPr>
        <w:pStyle w:val="WackCallout"/>
        <w:keepNext w:val="0"/>
        <w:keepLines/>
        <w:widowControl/>
        <w:shd w:fill="EEF2F3"/>
      </w:pPr>
      <w:r>
        <w:t>The firewall rule was approved for fourteen days, renewed for four years, and eventually listed as a prerequisite in a system nobody had heard of when the exception began.</w:t>
      </w:r>
    </w:p>
    <w:p>
      <w:pPr>
        <w:pStyle w:val="WackKicker"/>
        <w:keepNext/>
        <w:keepLines/>
        <w:widowControl/>
      </w:pPr>
      <w:r>
        <w:t>THE SCENE</w:t>
      </w:r>
    </w:p>
    <w:p>
      <w:pPr>
        <w:keepNext w:val="0"/>
        <w:keepLines/>
        <w:widowControl/>
        <w:jc w:val="both"/>
      </w:pPr>
      <w:r>
        <w:t>The original request was reasonable. A migration had stalled, a legacy application needed a short bridge, and the team documented a narrow rule so work could continue. The exception record named a requester, business reason, and end date. At the time, the path connected two systems and everyone expected one of them to disappear before the next quarter.</w:t>
      </w:r>
    </w:p>
    <w:p>
      <w:pPr>
        <w:keepNext w:val="0"/>
        <w:keepLines/>
        <w:widowControl/>
        <w:jc w:val="both"/>
      </w:pPr>
      <w:r>
        <w:t>The system did not disappear. The migration shifted, the owner changed roles, and the bridge stayed quiet enough to avoid attention. New teams discovered that the route worked and connected their own processes. A troubleshooting guide referenced it. An automation job depended on it. A template copied part of the configuration. The exception remained one line in a register while its Wack Radius expanded across the architecture.</w:t>
      </w:r>
    </w:p>
    <w:p>
      <w:pPr>
        <w:pStyle w:val="WackKicker"/>
        <w:keepNext/>
        <w:keepLines/>
        <w:widowControl/>
      </w:pPr>
      <w:r>
        <w:t>NARRATIVE TURN / 01</w:t>
      </w:r>
    </w:p>
    <w:p>
      <w:pPr>
        <w:pStyle w:val="Heading1"/>
      </w:pPr>
      <w:r>
        <w:t>The annual renewal ritual</w:t>
      </w:r>
    </w:p>
    <w:p>
      <w:pPr>
        <w:keepNext w:val="0"/>
        <w:keepLines/>
        <w:widowControl/>
        <w:jc w:val="both"/>
      </w:pPr>
      <w:r>
        <w:t>Each year, the governance team asked whether the exception was still needed. The operational answer was yes because removing it might break something. The evidence for that answer was the fact that nothing had broken while it remained. Risk acceptance became a ritual: update the date, preserve the wording, route the approval, and promise to revisit the migration.</w:t>
      </w:r>
    </w:p>
    <w:p>
      <w:pPr>
        <w:keepNext w:val="0"/>
        <w:keepLines/>
        <w:widowControl/>
        <w:jc w:val="both"/>
      </w:pPr>
      <w:r>
        <w:t>No one was being lazy. The problem was structural. The people approving the exception could see its original purpose but not its current consumers. The people who knew individual consumers did not know those dependencies originated in a temporary rule. The register tracked the decision as a document. The environment experienced it as architecture.</w:t>
      </w:r>
    </w:p>
    <w:p>
      <w:pPr>
        <w:pStyle w:val="WackKicker"/>
        <w:keepNext/>
        <w:keepLines/>
        <w:widowControl/>
      </w:pPr>
      <w:r>
        <w:t>NARRATIVE TURN / 02</w:t>
      </w:r>
    </w:p>
    <w:p>
      <w:pPr>
        <w:pStyle w:val="Heading1"/>
      </w:pPr>
      <w:r>
        <w:t>The attempted cleanup</w:t>
      </w:r>
    </w:p>
    <w:p>
      <w:pPr>
        <w:keepNext w:val="0"/>
        <w:keepLines/>
        <w:widowControl/>
        <w:jc w:val="both"/>
      </w:pPr>
      <w:r>
        <w:t>A new engineer eventually asked why the rule existed and proposed removing it. The change review produced immediate anxiety. One application owner remembered a nightly job. Another mentioned a vendor connection. A third pointed to a deployment template. Nobody could produce a complete list, so uncertainty became the strongest argument for preserving the status quo.</w:t>
      </w:r>
    </w:p>
    <w:p>
      <w:pPr>
        <w:keepNext w:val="0"/>
        <w:keepLines/>
        <w:widowControl/>
        <w:jc w:val="both"/>
      </w:pPr>
      <w:r>
        <w:t>That moment exposed Inherited Wack in its purest form: nobody currently involved had made the original choice, everyone could name a reason not to touch it, and no one possessed enough evidence to design a safe exit. The exception had acquired Wack Gravity by becoming useful to things that arrived after its approval.</w:t>
      </w:r>
    </w:p>
    <w:p>
      <w:pPr>
        <w:pStyle w:val="WackKicker"/>
        <w:keepNext/>
        <w:keepLines/>
        <w:widowControl/>
      </w:pPr>
      <w:r>
        <w:t>NARRATIVE TURN / 03</w:t>
      </w:r>
    </w:p>
    <w:p>
      <w:pPr>
        <w:pStyle w:val="Heading1"/>
      </w:pPr>
      <w:r>
        <w:t>From renewal to retirement experiment</w:t>
      </w:r>
    </w:p>
    <w:p>
      <w:pPr>
        <w:keepNext w:val="0"/>
        <w:keepLines/>
        <w:widowControl/>
        <w:jc w:val="both"/>
      </w:pPr>
      <w:r>
        <w:t>The team changed the question. Instead of asking can we remove the rule, they asked what would we need to observe to remove it safely? They captured traffic for a bounded period, identified consumers, compared the live configuration with templates, interviewed owners, and tagged unknown flows. Each dependency received a disposition: required and redesign, obsolete and remove, unknown and investigate.</w:t>
      </w:r>
    </w:p>
    <w:p>
      <w:pPr>
        <w:keepNext w:val="0"/>
        <w:keepLines/>
        <w:widowControl/>
        <w:jc w:val="both"/>
      </w:pPr>
      <w:r>
        <w:t>The exit plan became a sequence of reversible experiments. Narrow a source. Watch telemetry. Move one job. Validate. Narrow a destination. Validate again. The rule did not vanish in one heroic change window, but its radius shrank visibly. Every step replaced one reason for fear with one piece of evidence.</w:t>
      </w:r>
    </w:p>
    <w:p>
      <w:pPr>
        <w:pStyle w:val="WackKicker"/>
        <w:keepNext/>
        <w:keepLines/>
        <w:widowControl/>
      </w:pPr>
      <w:r>
        <w:t>WHAT THE TEAM FINALLY SAW</w:t>
      </w:r>
    </w:p>
    <w:p>
      <w:pPr>
        <w:pStyle w:val="WackCallout"/>
        <w:shd w:fill="FFF1E7"/>
        <w:keepNext w:val="0"/>
        <w:keepLines/>
        <w:widowControl/>
        <w:pBdr>
          <w:bottom w:val="single" w:sz="18" w:space="5" w:color="FF882B"/>
        </w:pBdr>
      </w:pPr>
      <w:r>
        <w:t>Exception Creep is not simply an old approval. It is the transformation of a bounded deviation into an undocumented dependency platform. Dates alone cannot control it because the real risk lives in propagation: new consumers, copied configuration, changed owners, and missing exit knowledge. An exception register becomes useful when it tracks current architecture, decision ownership, compensating activity, review triggers, and an executable path to a different state.</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Select the oldest or most frequently renewed exception and reconstruct its original promise. Compare the stated duration, systems, owners, and purpose with today’s configuration and operating use.</w:t>
      </w:r>
    </w:p>
    <w:p>
      <w:pPr>
        <w:pStyle w:val="Heading2"/>
        <w:keepNext/>
        <w:keepLines/>
        <w:widowControl/>
      </w:pPr>
      <w:r>
        <w:t>02 / MAP</w:t>
      </w:r>
    </w:p>
    <w:p>
      <w:pPr>
        <w:keepNext w:val="0"/>
        <w:keepLines/>
        <w:widowControl/>
        <w:jc w:val="both"/>
      </w:pPr>
      <w:r>
        <w:t>Observe actual flows, search templates and runbooks, identify every consumer, and mark unknown dependencies. Draw the exception as a path through architecture rather than a row in a governance table.</w:t>
      </w:r>
    </w:p>
    <w:p>
      <w:pPr>
        <w:pStyle w:val="Heading2"/>
        <w:keepNext/>
        <w:keepLines/>
        <w:widowControl/>
      </w:pPr>
      <w:r>
        <w:t>03 / EXPLAIN</w:t>
      </w:r>
    </w:p>
    <w:p>
      <w:pPr>
        <w:keepNext w:val="0"/>
        <w:keepLines/>
        <w:widowControl/>
        <w:jc w:val="both"/>
      </w:pPr>
      <w:r>
        <w:t>For each dependency, name the current owner, purpose, necessity, and evidence. Distinguish fear of unknown impact from a demonstrated requirement to preserve the path.</w:t>
      </w:r>
    </w:p>
    <w:p>
      <w:pPr>
        <w:pStyle w:val="Heading2"/>
        <w:keepNext/>
        <w:keepLines/>
        <w:widowControl/>
      </w:pPr>
      <w:r>
        <w:t>04 / REDUCE</w:t>
      </w:r>
    </w:p>
    <w:p>
      <w:pPr>
        <w:keepNext w:val="0"/>
        <w:keepLines/>
        <w:widowControl/>
        <w:jc w:val="both"/>
      </w:pPr>
      <w:r>
        <w:t>Build reversible experiments that shrink sources, destinations, permissions, consumers, or copied configurations. Give every experiment a success signal, rollback point, owner, and date.</w:t>
      </w:r>
    </w:p>
    <w:p>
      <w:pPr>
        <w:pStyle w:val="Heading2"/>
        <w:keepNext/>
        <w:keepLines/>
        <w:widowControl/>
      </w:pPr>
      <w:r>
        <w:t>05 / PROVE</w:t>
      </w:r>
    </w:p>
    <w:p>
      <w:pPr>
        <w:keepNext w:val="0"/>
        <w:keepLines/>
        <w:widowControl/>
        <w:jc w:val="both"/>
      </w:pPr>
      <w:r>
        <w:t>Retain before-and-after maps, observation data, change records, validation results, residual dependencies, and the next review trigger. Evidence of safe reduction is more useful than another unchanged renewal.</w:t>
      </w:r>
    </w:p>
    <w:p>
      <w:pPr>
        <w:pStyle w:val="WackKicker"/>
        <w:keepNext/>
        <w:keepLines/>
        <w:widowControl/>
      </w:pPr>
      <w:r>
        <w:t>FIELD NOTES</w:t>
      </w:r>
    </w:p>
    <w:p>
      <w:pPr>
        <w:pStyle w:val="ListBullet"/>
        <w:keepNext w:val="0"/>
        <w:keepLines/>
        <w:widowControl/>
        <w:ind w:left="346" w:hanging="259"/>
      </w:pPr>
      <w:r>
        <w:t>An exception can expire on paper while continuing to grow in architecture.</w:t>
      </w:r>
    </w:p>
    <w:p>
      <w:pPr>
        <w:pStyle w:val="ListBullet"/>
        <w:keepNext w:val="0"/>
        <w:keepLines/>
        <w:widowControl/>
        <w:ind w:left="346" w:hanging="259"/>
      </w:pPr>
      <w:r>
        <w:t>Uncertainty is a reason to instrument a change, not a permanent argument against one.</w:t>
      </w:r>
    </w:p>
    <w:p>
      <w:pPr>
        <w:pStyle w:val="ListBullet"/>
        <w:keepNext w:val="0"/>
        <w:keepLines/>
        <w:widowControl/>
        <w:ind w:left="346" w:hanging="259"/>
      </w:pPr>
      <w:r>
        <w:t>Every renewal should compare current dependencies with the original approval.</w:t>
      </w:r>
    </w:p>
    <w:p>
      <w:pPr>
        <w:pStyle w:val="ListBullet"/>
        <w:keepNext w:val="0"/>
        <w:keepLines/>
        <w:widowControl/>
        <w:ind w:left="346" w:hanging="259"/>
      </w:pPr>
      <w:r>
        <w:t>The safest exit is often a sequence of small experiments, not one dramatic removal.</w:t>
      </w:r>
    </w:p>
    <w:p>
      <w:pPr>
        <w:pStyle w:val="WackKicker"/>
        <w:keepNext/>
        <w:keepLines/>
        <w:widowControl/>
      </w:pPr>
      <w:r>
        <w:t>WHAT CHANGED</w:t>
      </w:r>
    </w:p>
    <w:p>
      <w:pPr>
        <w:keepNext w:val="0"/>
        <w:keepLines/>
        <w:widowControl/>
        <w:jc w:val="both"/>
      </w:pPr>
      <w:r>
        <w:t>After three cycles, the team removed the vendor source, moved two jobs, deleted the copied template rule, and constrained the remaining path to one documented service. The exception was still open, but it was no longer immortal. Its owner could show exactly what remained and the experiment that would address it next.</w:t>
      </w:r>
    </w:p>
    <w:p>
      <w:pPr>
        <w:keepNext w:val="0"/>
        <w:keepLines/>
        <w:widowControl/>
        <w:jc w:val="both"/>
      </w:pPr>
      <w:r>
        <w:t>At the next review, the approval packet did not say removing this might break something. It showed what had depended on the rule, what no longer did, what the team had learned, and how the radius had changed. The conversation moved from inherited fear to managed retirement.</w:t>
      </w:r>
    </w:p>
    <w:p>
      <w:pPr>
        <w:pStyle w:val="WackCallout"/>
        <w:shd w:fill="EEF2F3"/>
        <w:keepNext w:val="0"/>
        <w:keepLines/>
        <w:widowControl/>
        <w:pBdr>
          <w:bottom w:val="single" w:sz="18" w:space="5" w:color="11C7B6"/>
        </w:pBdr>
      </w:pPr>
      <w:r>
        <w:t>Take the oldest live exception and compare its current consumers, owners, and configuration with the original approval before renewing it again.</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SEASON 1 / FILE 05 / WACK-CONTENT-0064</w:t>
      </w:r>
    </w:p>
    <w:p>
      <w:pPr>
        <w:pStyle w:val="Heading1"/>
      </w:pPr>
      <w:r>
        <w:t>THE DIAGRAM NOBODY WANTED TO UPDATE</w:t>
      </w:r>
    </w:p>
    <w:p>
      <w:pPr>
        <w:pStyle w:val="WackDeck"/>
        <w:keepNext w:val="0"/>
        <w:keepLines/>
        <w:widowControl/>
      </w:pPr>
      <w:r>
        <w:t>The architecture changed every month. The picture stayed beautiful for three years.</w:t>
      </w:r>
    </w:p>
    <w:p>
      <w:pPr>
        <w:pStyle w:val="WackKicker"/>
        <w:keepNext/>
        <w:keepLines/>
        <w:widowControl/>
      </w:pPr>
      <w:r>
        <w:t>COLD OPEN</w:t>
      </w:r>
    </w:p>
    <w:p>
      <w:pPr>
        <w:pStyle w:val="WackCallout"/>
        <w:keepNext w:val="0"/>
        <w:keepLines/>
        <w:widowControl/>
        <w:shd w:fill="EEF2F3"/>
      </w:pPr>
      <w:r>
        <w:t>The diagram was wrong, the spreadsheet was current, and the truth was distributed across six people who had never been in the same meeting.</w:t>
      </w:r>
    </w:p>
    <w:p>
      <w:pPr>
        <w:pStyle w:val="WackKicker"/>
        <w:keepNext/>
        <w:keepLines/>
        <w:widowControl/>
      </w:pPr>
      <w:r>
        <w:t>THE SCENE</w:t>
      </w:r>
    </w:p>
    <w:p>
      <w:pPr>
        <w:keepNext w:val="0"/>
        <w:keepLines/>
        <w:widowControl/>
        <w:jc w:val="both"/>
      </w:pPr>
      <w:r>
        <w:t>The diagram had survived a cloud migration, two acquisitions, a network redesign, and three branding updates. It remained visually excellent. Boxes aligned. Arrows avoided one another. The legend was tasteful. It appeared in onboarding decks and assessment packets because it was the only artifact that made the environment look explainable at a glance.</w:t>
      </w:r>
    </w:p>
    <w:p>
      <w:pPr>
        <w:keepNext w:val="0"/>
        <w:keepLines/>
        <w:widowControl/>
        <w:jc w:val="both"/>
      </w:pPr>
      <w:r>
        <w:t>The team also maintained a scope spreadsheet. Unlike the diagram, it changed constantly. Rows arrived through tickets, discoveries, and annual review. Colors marked inclusion, exclusion, ownership, and uncertainty. People trusted the spreadsheet because it felt current, but the rows did not consistently link to flows, trust boundaries, or administrative paths. One artifact had shape without freshness. The other had freshness without architecture.</w:t>
      </w:r>
    </w:p>
    <w:p>
      <w:pPr>
        <w:pStyle w:val="WackKicker"/>
        <w:keepNext/>
        <w:keepLines/>
        <w:widowControl/>
      </w:pPr>
      <w:r>
        <w:t>NARRATIVE TURN / 01</w:t>
      </w:r>
    </w:p>
    <w:p>
      <w:pPr>
        <w:pStyle w:val="Heading1"/>
      </w:pPr>
      <w:r>
        <w:t>Six versions of current</w:t>
      </w:r>
    </w:p>
    <w:p>
      <w:pPr>
        <w:keepNext w:val="0"/>
        <w:keepLines/>
        <w:widowControl/>
        <w:jc w:val="both"/>
      </w:pPr>
      <w:r>
        <w:t>When the team compared the two sources, disagreements appeared immediately. A payment support service existed in the spreadsheet but not the diagram. A retired gateway remained on the diagram but not the inventory. A newly acquired environment used the same name for a different component. Two arrows represented connections nobody could validate. Each artifact was current according to a different clock.</w:t>
      </w:r>
    </w:p>
    <w:p>
      <w:pPr>
        <w:keepNext w:val="0"/>
        <w:keepLines/>
        <w:widowControl/>
        <w:jc w:val="both"/>
      </w:pPr>
      <w:r>
        <w:t>The search for answers became Evidence Archaeology. Network engineering had a troubleshooting sketch. The cloud team had a deployment view. An application owner had a data-flow slide. Security had firewall objects. Compliance had last year’s annotated PDF. None was the authoritative architecture, yet each contained facts the official diagram had omitted.</w:t>
      </w:r>
    </w:p>
    <w:p>
      <w:pPr>
        <w:pStyle w:val="WackKicker"/>
        <w:keepNext/>
        <w:keepLines/>
        <w:widowControl/>
      </w:pPr>
      <w:r>
        <w:t>NARRATIVE TURN / 02</w:t>
      </w:r>
    </w:p>
    <w:p>
      <w:pPr>
        <w:pStyle w:val="Heading1"/>
      </w:pPr>
      <w:r>
        <w:t>Why nobody fixed it</w:t>
      </w:r>
    </w:p>
    <w:p>
      <w:pPr>
        <w:keepNext w:val="0"/>
        <w:keepLines/>
        <w:widowControl/>
        <w:jc w:val="both"/>
      </w:pPr>
      <w:r>
        <w:t>Updating the official picture felt risky because every change invited a bigger question. Add the acquired environment and someone would ask about its boundary. Remove the gateway and someone would ask when it retired. Draw the management path and someone would revisit the scope rationale. The diagram stayed polished because polish protected the team from reopening unresolved decisions.</w:t>
      </w:r>
    </w:p>
    <w:p>
      <w:pPr>
        <w:keepNext w:val="0"/>
        <w:keepLines/>
        <w:widowControl/>
        <w:jc w:val="both"/>
      </w:pPr>
      <w:r>
        <w:t>Meanwhile, the spreadsheet absorbed uncertainty without resolving it. A yellow row could remain yellow indefinitely. A comment could say pending architecture confirmation for several quarters. The table became a waiting room for decisions the diagram refused to host. Together they formed a stable Cluster of Wack: one artifact simplified the story and the other postponed it.</w:t>
      </w:r>
    </w:p>
    <w:p>
      <w:pPr>
        <w:pStyle w:val="WackKicker"/>
        <w:keepNext/>
        <w:keepLines/>
        <w:widowControl/>
      </w:pPr>
      <w:r>
        <w:t>NARRATIVE TURN / 03</w:t>
      </w:r>
    </w:p>
    <w:p>
      <w:pPr>
        <w:pStyle w:val="Heading1"/>
      </w:pPr>
      <w:r>
        <w:t>The reconciliation drill</w:t>
      </w:r>
    </w:p>
    <w:p>
      <w:pPr>
        <w:keepNext w:val="0"/>
        <w:keepLines/>
        <w:widowControl/>
        <w:jc w:val="both"/>
      </w:pPr>
      <w:r>
        <w:t>The team stopped trying to redraw everything. They selected one transaction path and one administrative path, then walked both across the diagram, spreadsheet, configurations, and owners. Each mismatch entered a log with the competing claims, available evidence, decision owner, and due date. Unknown became an explicit state instead of an embarrassing blank.</w:t>
      </w:r>
    </w:p>
    <w:p>
      <w:pPr>
        <w:keepNext w:val="0"/>
        <w:keepLines/>
        <w:widowControl/>
        <w:jc w:val="both"/>
      </w:pPr>
      <w:r>
        <w:t>The drill produced an imperfect but dated baseline. Components carried stable identifiers. Spreadsheet rows linked to diagram nodes. Diagram edges linked to evidence or open questions. A retirement event removed the component from both views. A new trust relationship triggered review of both. The artifacts did not become identical; they became reconcilable.</w:t>
      </w:r>
    </w:p>
    <w:p>
      <w:pPr>
        <w:pStyle w:val="WackKicker"/>
        <w:keepNext/>
        <w:keepLines/>
        <w:widowControl/>
      </w:pPr>
      <w:r>
        <w:t>WHAT THE TEAM FINALLY SAW</w:t>
      </w:r>
    </w:p>
    <w:p>
      <w:pPr>
        <w:pStyle w:val="WackCallout"/>
        <w:shd w:fill="FFF1E7"/>
        <w:keepNext w:val="0"/>
        <w:keepLines/>
        <w:widowControl/>
        <w:pBdr>
          <w:bottom w:val="single" w:sz="18" w:space="5" w:color="FF882B"/>
        </w:pBdr>
      </w:pPr>
      <w:r>
        <w:t>Diagram Drift is not primarily a drawing problem. It is a synchronization and decision problem. Scope by Spreadsheet emerges when the table is asked to replace the relationships it can only summarize. Evidence Archaeology fills the gap when teams must excavate current facts from local artifacts and memory. The way out is not a perfect master diagram. It is a repeatable reconciliation motion with identifiers, dates, owners, triggers, and a place for uncertainty to become work.</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Choose one business transaction and one administrative workflow that cross important boundaries. Gather the official diagram, scope table, relevant configurations, local sketches, and people who operate the path.</w:t>
      </w:r>
    </w:p>
    <w:p>
      <w:pPr>
        <w:pStyle w:val="Heading2"/>
        <w:keepNext/>
        <w:keepLines/>
        <w:widowControl/>
      </w:pPr>
      <w:r>
        <w:t>02 / MAP</w:t>
      </w:r>
    </w:p>
    <w:p>
      <w:pPr>
        <w:keepNext w:val="0"/>
        <w:keepLines/>
        <w:widowControl/>
        <w:jc w:val="both"/>
      </w:pPr>
      <w:r>
        <w:t>Walk each step across every source. Record matching facts, contradictions, missing nodes, missing edges, stale components, naming collisions, and unanswered ownership questions in one reconciliation log.</w:t>
      </w:r>
    </w:p>
    <w:p>
      <w:pPr>
        <w:pStyle w:val="Heading2"/>
        <w:keepNext/>
        <w:keepLines/>
        <w:widowControl/>
      </w:pPr>
      <w:r>
        <w:t>03 / EXPLAIN</w:t>
      </w:r>
    </w:p>
    <w:p>
      <w:pPr>
        <w:keepNext w:val="0"/>
        <w:keepLines/>
        <w:widowControl/>
        <w:jc w:val="both"/>
      </w:pPr>
      <w:r>
        <w:t>Assign a decision owner to each contradiction and state which evidence would resolve it. Keep unknown visible and time-bounded; do not hide it in an unlabeled arrow or permanent yellow cell.</w:t>
      </w:r>
    </w:p>
    <w:p>
      <w:pPr>
        <w:pStyle w:val="Heading2"/>
        <w:keepNext/>
        <w:keepLines/>
        <w:widowControl/>
      </w:pPr>
      <w:r>
        <w:t>04 / REDUCE</w:t>
      </w:r>
    </w:p>
    <w:p>
      <w:pPr>
        <w:keepNext w:val="0"/>
        <w:keepLines/>
        <w:widowControl/>
        <w:jc w:val="both"/>
      </w:pPr>
      <w:r>
        <w:t>Retire obsolete views, normalize identifiers, remove unsupported edges, and limit each artifact to a clear purpose. Fewer maintained representations create fewer places for silent drift.</w:t>
      </w:r>
    </w:p>
    <w:p>
      <w:pPr>
        <w:pStyle w:val="Heading2"/>
        <w:keepNext/>
        <w:keepLines/>
        <w:widowControl/>
      </w:pPr>
      <w:r>
        <w:t>05 / PROVE</w:t>
      </w:r>
    </w:p>
    <w:p>
      <w:pPr>
        <w:keepNext w:val="0"/>
        <w:keepLines/>
        <w:widowControl/>
        <w:jc w:val="both"/>
      </w:pPr>
      <w:r>
        <w:t>Publish a dated baseline, link table rows to diagram nodes, record review triggers, and retain the reconciliation log. Demonstrate that one recent change propagated through every affected view.</w:t>
      </w:r>
    </w:p>
    <w:p>
      <w:pPr>
        <w:pStyle w:val="WackKicker"/>
        <w:keepNext/>
        <w:keepLines/>
        <w:widowControl/>
      </w:pPr>
      <w:r>
        <w:t>FIELD NOTES</w:t>
      </w:r>
    </w:p>
    <w:p>
      <w:pPr>
        <w:pStyle w:val="ListBullet"/>
        <w:keepNext w:val="0"/>
        <w:keepLines/>
        <w:widowControl/>
        <w:ind w:left="346" w:hanging="259"/>
      </w:pPr>
      <w:r>
        <w:t>A beautiful diagram can be the most persuasive stale artifact in the room.</w:t>
      </w:r>
    </w:p>
    <w:p>
      <w:pPr>
        <w:pStyle w:val="ListBullet"/>
        <w:keepNext w:val="0"/>
        <w:keepLines/>
        <w:widowControl/>
        <w:ind w:left="346" w:hanging="259"/>
      </w:pPr>
      <w:r>
        <w:t>Current is meaningless unless the artifact declares its clock and trigger.</w:t>
      </w:r>
    </w:p>
    <w:p>
      <w:pPr>
        <w:pStyle w:val="ListBullet"/>
        <w:keepNext w:val="0"/>
        <w:keepLines/>
        <w:widowControl/>
        <w:ind w:left="346" w:hanging="259"/>
      </w:pPr>
      <w:r>
        <w:t>Unknown should become an owned work item, not a permanent color.</w:t>
      </w:r>
    </w:p>
    <w:p>
      <w:pPr>
        <w:pStyle w:val="ListBullet"/>
        <w:keepNext w:val="0"/>
        <w:keepLines/>
        <w:widowControl/>
        <w:ind w:left="346" w:hanging="259"/>
      </w:pPr>
      <w:r>
        <w:t>Architecture views do not need to be identical; they need to be reconcilable.</w:t>
      </w:r>
    </w:p>
    <w:p>
      <w:pPr>
        <w:pStyle w:val="WackKicker"/>
        <w:keepNext/>
        <w:keepLines/>
        <w:widowControl/>
      </w:pPr>
      <w:r>
        <w:t>WHAT CHANGED</w:t>
      </w:r>
    </w:p>
    <w:p>
      <w:pPr>
        <w:keepNext w:val="0"/>
        <w:keepLines/>
        <w:widowControl/>
        <w:jc w:val="both"/>
      </w:pPr>
      <w:r>
        <w:t>The official diagram became less beautiful and more useful. It displayed dates, identifiers, unresolved edges, and review ownership. The spreadsheet lost several decorative status columns and gained links to architecture facts. Teams could now disagree in one visible place instead of maintaining separate versions of certainty.</w:t>
      </w:r>
    </w:p>
    <w:p>
      <w:pPr>
        <w:keepNext w:val="0"/>
        <w:keepLines/>
        <w:widowControl/>
        <w:jc w:val="both"/>
      </w:pPr>
      <w:r>
        <w:t>At the next review, an engineer corrected an arrow without triggering panic. The mismatch entered the log, the owner validated the configuration, and both views changed together. The organization had not frozen the architecture. It had finally given change a route into the documentation.</w:t>
      </w:r>
    </w:p>
    <w:p>
      <w:pPr>
        <w:pStyle w:val="WackCallout"/>
        <w:shd w:fill="EEF2F3"/>
        <w:keepNext w:val="0"/>
        <w:keepLines/>
        <w:widowControl/>
        <w:pBdr>
          <w:bottom w:val="single" w:sz="18" w:space="5" w:color="11C7B6"/>
        </w:pBdr>
      </w:pPr>
      <w:r>
        <w:t>Run a one-path reconciliation drill: compare the diagram, scope table, live configuration, and operating owner before attempting a complete redraw.</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SEASON 1 / FILE 06 / WACK-CONTENT-0065</w:t>
      </w:r>
    </w:p>
    <w:p>
      <w:pPr>
        <w:pStyle w:val="Heading1"/>
      </w:pPr>
      <w:r>
        <w:t>ONE SCREENSHOT, TEN CONTROLS, ZERO OWNERS</w:t>
      </w:r>
    </w:p>
    <w:p>
      <w:pPr>
        <w:pStyle w:val="WackDeck"/>
        <w:keepNext w:val="0"/>
        <w:keepLines/>
        <w:widowControl/>
      </w:pPr>
      <w:r>
        <w:t>The evidence was copied so efficiently that nobody remembered what the original result had been created to prove.</w:t>
      </w:r>
    </w:p>
    <w:p>
      <w:pPr>
        <w:pStyle w:val="WackKicker"/>
        <w:keepNext/>
        <w:keepLines/>
        <w:widowControl/>
      </w:pPr>
      <w:r>
        <w:t>COLD OPEN</w:t>
      </w:r>
    </w:p>
    <w:p>
      <w:pPr>
        <w:pStyle w:val="WackCallout"/>
        <w:keepNext w:val="0"/>
        <w:keepLines/>
        <w:widowControl/>
        <w:shd w:fill="EEF2F3"/>
      </w:pPr>
      <w:r>
        <w:t>By the time the screenshot reached control number ten, it had three filenames, four captions, two different dates, and no living owner.</w:t>
      </w:r>
    </w:p>
    <w:p>
      <w:pPr>
        <w:pStyle w:val="WackKicker"/>
        <w:keepNext/>
        <w:keepLines/>
        <w:widowControl/>
      </w:pPr>
      <w:r>
        <w:t>THE SCENE</w:t>
      </w:r>
    </w:p>
    <w:p>
      <w:pPr>
        <w:keepNext w:val="0"/>
        <w:keepLines/>
        <w:widowControl/>
        <w:jc w:val="both"/>
      </w:pPr>
      <w:r>
        <w:t>The screenshot began as a sensible piece of evidence. A system owner captured a configuration view, added a date, and placed it in the request folder. It clearly showed one setting for one platform. The evidence coordinator noticed that several control descriptions mentioned the same general capability and reused the image rather than asking the owner for nearly identical artifacts.</w:t>
      </w:r>
    </w:p>
    <w:p>
      <w:pPr>
        <w:keepNext w:val="0"/>
        <w:keepLines/>
        <w:widowControl/>
        <w:jc w:val="both"/>
      </w:pPr>
      <w:r>
        <w:t>Reuse looked like maturity. It reduced requests, saved time, and kept the package consistent. Over successive cycles, however, the image traveled farther. One team cited it for configuration. Another cited it for coverage. A third cited it for review. An acquired environment used the same control name, so the screenshot joined that narrative too. The picture stayed still while the claims multiplied around it.</w:t>
      </w:r>
    </w:p>
    <w:p>
      <w:pPr>
        <w:pStyle w:val="WackKicker"/>
        <w:keepNext/>
        <w:keepLines/>
        <w:widowControl/>
      </w:pPr>
      <w:r>
        <w:t>NARRATIVE TURN / 01</w:t>
      </w:r>
    </w:p>
    <w:p>
      <w:pPr>
        <w:pStyle w:val="Heading1"/>
      </w:pPr>
      <w:r>
        <w:t>The caption expansion</w:t>
      </w:r>
    </w:p>
    <w:p>
      <w:pPr>
        <w:keepNext w:val="0"/>
        <w:keepLines/>
        <w:widowControl/>
        <w:jc w:val="both"/>
      </w:pPr>
      <w:r>
        <w:t>Each copy acquired a new caption. Platform setting enabled became control configured. Control configured became all systems covered. All systems covered became operating effectively. The words changed because every consumer needed the evidence to answer a slightly different question. No one intended to overstate the image. The repository simply lacked a declared claim boundary.</w:t>
      </w:r>
    </w:p>
    <w:p>
      <w:pPr>
        <w:keepNext w:val="0"/>
        <w:keepLines/>
        <w:widowControl/>
        <w:jc w:val="both"/>
      </w:pPr>
      <w:r>
        <w:t>When a reviewer asked for the population, the team opened the screenshot. It showed a console name but no tenant, account, scope filter, or export. The original owner had moved to another role. The person who captured it could remember the screen but not the query. Evidence Echo had reproduced the artifact more reliably than the organization had preserved its meaning.</w:t>
      </w:r>
    </w:p>
    <w:p>
      <w:pPr>
        <w:pStyle w:val="WackKicker"/>
        <w:keepNext/>
        <w:keepLines/>
        <w:widowControl/>
      </w:pPr>
      <w:r>
        <w:t>NARRATIVE TURN / 02</w:t>
      </w:r>
    </w:p>
    <w:p>
      <w:pPr>
        <w:pStyle w:val="Heading1"/>
      </w:pPr>
      <w:r>
        <w:t>The control doppelgängers</w:t>
      </w:r>
    </w:p>
    <w:p>
      <w:pPr>
        <w:keepNext w:val="0"/>
        <w:keepLines/>
        <w:widowControl/>
        <w:jc w:val="both"/>
      </w:pPr>
      <w:r>
        <w:t>The deeper review found that the shared control name covered three different implementations. The primary platform used a centralized setting. The acquired environment used a local configuration. A legacy service relied on a manual review. The narratives used the same title, but owner, population, frequency, method, and evidence differed.</w:t>
      </w:r>
    </w:p>
    <w:p>
      <w:pPr>
        <w:keepNext w:val="0"/>
        <w:keepLines/>
        <w:widowControl/>
        <w:jc w:val="both"/>
      </w:pPr>
      <w:r>
        <w:t>The screenshot had hidden the divergence because it looked familiar in every folder. Reuse created the appearance of standardization without the operating facts of a standard control. Nobody owned the combined claim because nobody actually operated the combined control. Ownership Fog was not a missing name in a spreadsheet; it was a control model that existed only in documentation.</w:t>
      </w:r>
    </w:p>
    <w:p>
      <w:pPr>
        <w:pStyle w:val="WackKicker"/>
        <w:keepNext/>
        <w:keepLines/>
        <w:widowControl/>
      </w:pPr>
      <w:r>
        <w:t>NARRATIVE TURN / 03</w:t>
      </w:r>
    </w:p>
    <w:p>
      <w:pPr>
        <w:pStyle w:val="Heading1"/>
      </w:pPr>
      <w:r>
        <w:t>Building lineage instead of copies</w:t>
      </w:r>
    </w:p>
    <w:p>
      <w:pPr>
        <w:keepNext w:val="0"/>
        <w:keepLines/>
        <w:widowControl/>
        <w:jc w:val="both"/>
      </w:pPr>
      <w:r>
        <w:t>The team gave the artifact a source record: creator, system, environment, capture method, timestamp, population, claim, limitations, reviewer, and retention location. Every downstream use linked to that record and declared the narrower statement it relied on. Where the source could not support the claim, the consumer needed different evidence.</w:t>
      </w:r>
    </w:p>
    <w:p>
      <w:pPr>
        <w:keepNext w:val="0"/>
        <w:keepLines/>
        <w:widowControl/>
        <w:jc w:val="both"/>
      </w:pPr>
      <w:r>
        <w:t>Then the team separated the doppelgängers. Three implementations received distinct IDs and owners. A common control objective could remain, but each operating variant carried its own population, method, frequency, and evidence path. The repository contained fewer copies and more relationships. Reuse became intentional because lineage made its limits visible.</w:t>
      </w:r>
    </w:p>
    <w:p>
      <w:pPr>
        <w:pStyle w:val="WackKicker"/>
        <w:keepNext/>
        <w:keepLines/>
        <w:widowControl/>
      </w:pPr>
      <w:r>
        <w:t>WHAT THE TEAM FINALLY SAW</w:t>
      </w:r>
    </w:p>
    <w:p>
      <w:pPr>
        <w:pStyle w:val="WackCallout"/>
        <w:shd w:fill="FFF1E7"/>
        <w:keepNext w:val="0"/>
        <w:keepLines/>
        <w:widowControl/>
        <w:pBdr>
          <w:bottom w:val="single" w:sz="18" w:space="5" w:color="FF882B"/>
        </w:pBdr>
      </w:pPr>
      <w:r>
        <w:t>Evidence Echo becomes dangerous when artifact reuse is separated from claim ownership. The file survives, but its population, timing, method, limitations, and original purpose fade. Control Doppelgängers benefit from the confusion because a shared title makes different implementations look interchangeable. The cure is not to ban reuse. It is to preserve evidence lineage and require each consumer to state exactly which claim the source supports.</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Choose the evidence file referenced by the most controls or narratives. Inventory every copy, filename, caption, control mapping, and decision that currently depends on it.</w:t>
      </w:r>
    </w:p>
    <w:p>
      <w:pPr>
        <w:pStyle w:val="Heading2"/>
        <w:keepNext/>
        <w:keepLines/>
        <w:widowControl/>
      </w:pPr>
      <w:r>
        <w:t>02 / MAP</w:t>
      </w:r>
    </w:p>
    <w:p>
      <w:pPr>
        <w:keepNext w:val="0"/>
        <w:keepLines/>
        <w:widowControl/>
        <w:jc w:val="both"/>
      </w:pPr>
      <w:r>
        <w:t>Trace the artifact back to creator, system, environment, method, population, timestamp, and source data. Trace it forward to each consuming claim and identify where the meaning expands.</w:t>
      </w:r>
    </w:p>
    <w:p>
      <w:pPr>
        <w:pStyle w:val="Heading2"/>
        <w:keepNext/>
        <w:keepLines/>
        <w:widowControl/>
      </w:pPr>
      <w:r>
        <w:t>03 / EXPLAIN</w:t>
      </w:r>
    </w:p>
    <w:p>
      <w:pPr>
        <w:keepNext w:val="0"/>
        <w:keepLines/>
        <w:widowControl/>
        <w:jc w:val="both"/>
      </w:pPr>
      <w:r>
        <w:t>Name an owner for the source artifact and an owner for every downstream claim. Distinguish control objective from operating implementation so shared names do not erase material differences.</w:t>
      </w:r>
    </w:p>
    <w:p>
      <w:pPr>
        <w:pStyle w:val="Heading2"/>
        <w:keepNext/>
        <w:keepLines/>
        <w:widowControl/>
      </w:pPr>
      <w:r>
        <w:t>04 / REDUCE</w:t>
      </w:r>
    </w:p>
    <w:p>
      <w:pPr>
        <w:keepNext w:val="0"/>
        <w:keepLines/>
        <w:widowControl/>
        <w:jc w:val="both"/>
      </w:pPr>
      <w:r>
        <w:t>Replace duplicate files with governed references, split unsupported claims, retire stale copies, and create separate evidence for distinct implementations. Reuse only when the source claim boundary matches the consumer.</w:t>
      </w:r>
    </w:p>
    <w:p>
      <w:pPr>
        <w:pStyle w:val="Heading2"/>
        <w:keepNext/>
        <w:keepLines/>
        <w:widowControl/>
      </w:pPr>
      <w:r>
        <w:t>05 / PROVE</w:t>
      </w:r>
    </w:p>
    <w:p>
      <w:pPr>
        <w:keepNext w:val="0"/>
        <w:keepLines/>
        <w:widowControl/>
        <w:jc w:val="both"/>
      </w:pPr>
      <w:r>
        <w:t>Keep the lineage record, immutable source, review decision, claim mappings, limitations, and refresh trigger together. A future user should know why the evidence exists before deciding where it can be reused.</w:t>
      </w:r>
    </w:p>
    <w:p>
      <w:pPr>
        <w:pStyle w:val="WackKicker"/>
        <w:keepNext/>
        <w:keepLines/>
        <w:widowControl/>
      </w:pPr>
      <w:r>
        <w:t>FIELD NOTES</w:t>
      </w:r>
    </w:p>
    <w:p>
      <w:pPr>
        <w:pStyle w:val="ListBullet"/>
        <w:keepNext w:val="0"/>
        <w:keepLines/>
        <w:widowControl/>
        <w:ind w:left="346" w:hanging="259"/>
      </w:pPr>
      <w:r>
        <w:t>Evidence reuse is efficient only while its claim boundary remains visible.</w:t>
      </w:r>
    </w:p>
    <w:p>
      <w:pPr>
        <w:pStyle w:val="ListBullet"/>
        <w:keepNext w:val="0"/>
        <w:keepLines/>
        <w:widowControl/>
        <w:ind w:left="346" w:hanging="259"/>
      </w:pPr>
      <w:r>
        <w:t>A shared control title does not prove a shared implementation.</w:t>
      </w:r>
    </w:p>
    <w:p>
      <w:pPr>
        <w:pStyle w:val="ListBullet"/>
        <w:keepNext w:val="0"/>
        <w:keepLines/>
        <w:widowControl/>
        <w:ind w:left="346" w:hanging="259"/>
      </w:pPr>
      <w:r>
        <w:t>The artifact owner and the claim owner may be different people; both must exist.</w:t>
      </w:r>
    </w:p>
    <w:p>
      <w:pPr>
        <w:pStyle w:val="ListBullet"/>
        <w:keepNext w:val="0"/>
        <w:keepLines/>
        <w:widowControl/>
        <w:ind w:left="346" w:hanging="259"/>
      </w:pPr>
      <w:r>
        <w:t>Fewer copies with stronger lineage beat a perfect folder full of echoes.</w:t>
      </w:r>
    </w:p>
    <w:p>
      <w:pPr>
        <w:pStyle w:val="WackKicker"/>
        <w:keepNext/>
        <w:keepLines/>
        <w:widowControl/>
      </w:pPr>
      <w:r>
        <w:t>WHAT CHANGED</w:t>
      </w:r>
    </w:p>
    <w:p>
      <w:pPr>
        <w:keepNext w:val="0"/>
        <w:keepLines/>
        <w:widowControl/>
        <w:jc w:val="both"/>
      </w:pPr>
      <w:r>
        <w:t>The famous screenshot ultimately supported two narrow claims, not ten broad ones. Four consumers switched to query exports with explicit populations. Three received evidence from different implementations. One narrative was rewritten because the supposed combined control did not exist in operation. Two mappings disappeared entirely.</w:t>
      </w:r>
    </w:p>
    <w:p>
      <w:pPr>
        <w:keepNext w:val="0"/>
        <w:keepLines/>
        <w:widowControl/>
        <w:jc w:val="both"/>
      </w:pPr>
      <w:r>
        <w:t>The evidence package grew slightly larger and became dramatically easier to defend. When someone reused a record, the system displayed its scope and limitations before the download button. The organization preserved the benefit of reuse without letting repetition manufacture certainty.</w:t>
      </w:r>
    </w:p>
    <w:p>
      <w:pPr>
        <w:pStyle w:val="WackCallout"/>
        <w:shd w:fill="EEF2F3"/>
        <w:keepNext w:val="0"/>
        <w:keepLines/>
        <w:widowControl/>
        <w:pBdr>
          <w:bottom w:val="single" w:sz="18" w:space="5" w:color="11C7B6"/>
        </w:pBdr>
      </w:pPr>
      <w:r>
        <w:t>Find the most reused evidence file in your program and map every downstream claim before allowing one more copy.</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sectPr w:rsidR="00FC693F" w:rsidRPr="0006063C" w:rsidSect="00034616">
      <w:headerReference w:type="default" r:id="rId9"/>
      <w:footerReference w:type="default" r:id="rId10"/>
      <w:pgSz w:w="12240" w:h="15840"/>
      <w:pgMar w:top="1181" w:right="1267" w:bottom="1037" w:left="126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Pr>
    <w:tblGrid>
      <w:gridCol w:w="7920"/>
      <w:gridCol w:w="1786"/>
    </w:tblGrid>
    <w:tr>
      <w:tc>
        <w:tcPr>
          <w:tcW w:type="dxa" w:w="4853"/>
          <w:tcMar>
            <w:top w:w="0" w:type="dxa"/>
            <w:start w:w="0" w:type="dxa"/>
            <w:bottom w:w="0" w:type="dxa"/>
            <w:end w:w="0" w:type="dxa"/>
          </w:tcMar>
        </w:tcPr>
        <w:p>
          <w:r>
            <w:rPr>
              <w:rFonts w:ascii="Arial" w:hAnsi="Arial"/>
              <w:color w:val="52646B"/>
              <w:sz w:val="15"/>
            </w:rPr>
            <w:t>Independent practitioner resource  /  theclusterofwack.com</w:t>
          </w:r>
        </w:p>
      </w:tc>
      <w:tc>
        <w:tcPr>
          <w:tcW w:type="dxa" w:w="4853"/>
          <w:tcMar>
            <w:top w:w="0" w:type="dxa"/>
            <w:start w:w="0" w:type="dxa"/>
            <w:bottom w:w="0" w:type="dxa"/>
            <w:end w:w="0" w:type="dxa"/>
          </w:tcMar>
        </w:tcPr>
        <w:p>
          <w:pPr>
            <w:jc w:val="right"/>
          </w:pPr>
          <w:r>
            <w:rPr>
              <w:rFonts w:ascii="Arial" w:hAnsi="Arial"/>
              <w:color w:val="52646B"/>
              <w:sz w:val="15"/>
            </w:rPr>
            <w:fldChar w:fldCharType="begin"/>
            <w:instrText xml:space="preserve">PAGE</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10" w:space="4" w:color="FF882B"/>
      </w:pBdr>
    </w:pPr>
    <w:r>
      <w:rPr>
        <w:rFonts w:ascii="Arial" w:hAnsi="Arial"/>
        <w:b/>
        <w:color w:val="52646B"/>
        <w:sz w:val="15"/>
      </w:rPr>
      <w:t>THE CLUSTER OF WACK  /  WACK CASE FILES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02" w:lineRule="auto"/>
    </w:pPr>
    <w:rPr>
      <w:rFonts w:ascii="Arial" w:hAnsi="Arial"/>
      <w:color w:val="07101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40" w:after="160"/>
      <w:outlineLvl w:val="0"/>
    </w:pPr>
    <w:rPr>
      <w:rFonts w:asciiTheme="majorHAnsi" w:eastAsiaTheme="majorEastAsia" w:hAnsiTheme="majorHAnsi" w:cstheme="majorBidi" w:ascii="Impact" w:hAnsi="Impact"/>
      <w:b w:val="0"/>
      <w:bCs/>
      <w:color w:val="FF882B"/>
      <w:sz w:val="40"/>
      <w:szCs w:val="28"/>
    </w:rPr>
  </w:style>
  <w:style w:type="paragraph" w:styleId="Heading2">
    <w:name w:val="heading 2"/>
    <w:basedOn w:val="Normal"/>
    <w:next w:val="Normal"/>
    <w:link w:val="Heading2Char"/>
    <w:uiPriority w:val="9"/>
    <w:unhideWhenUsed/>
    <w:qFormat/>
    <w:rsid w:val="00FC693F"/>
    <w:pPr>
      <w:keepNext/>
      <w:keepLines/>
      <w:widowControl/>
      <w:spacing w:before="260" w:after="120"/>
      <w:outlineLvl w:val="1"/>
    </w:pPr>
    <w:rPr>
      <w:rFonts w:asciiTheme="majorHAnsi" w:eastAsiaTheme="majorEastAsia" w:hAnsiTheme="majorHAnsi" w:cstheme="majorBidi" w:ascii="Impact" w:hAnsi="Impact"/>
      <w:b w:val="0"/>
      <w:bCs/>
      <w:color w:val="FF882B"/>
      <w:sz w:val="30"/>
      <w:szCs w:val="26"/>
    </w:rPr>
  </w:style>
  <w:style w:type="paragraph" w:styleId="Heading3">
    <w:name w:val="heading 3"/>
    <w:basedOn w:val="Normal"/>
    <w:next w:val="Normal"/>
    <w:link w:val="Heading3Char"/>
    <w:uiPriority w:val="9"/>
    <w:unhideWhenUsed/>
    <w:qFormat/>
    <w:rsid w:val="00FC693F"/>
    <w:pPr>
      <w:keepNext/>
      <w:keepLines/>
      <w:widowControl/>
      <w:spacing w:before="200" w:after="80"/>
      <w:outlineLvl w:val="2"/>
    </w:pPr>
    <w:rPr>
      <w:rFonts w:asciiTheme="majorHAnsi" w:eastAsiaTheme="majorEastAsia" w:hAnsiTheme="majorHAnsi" w:cstheme="majorBidi" w:ascii="Impact" w:hAnsi="Impact"/>
      <w:b w:val="0"/>
      <w:bCs/>
      <w:color w:val="FF88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20" w:line="240" w:lineRule="auto" w:before="0"/>
      <w:contextualSpacing/>
    </w:pPr>
    <w:rPr>
      <w:rFonts w:asciiTheme="majorHAnsi" w:eastAsiaTheme="majorEastAsia" w:hAnsiTheme="majorHAnsi" w:cstheme="majorBidi" w:ascii="Impact" w:hAnsi="Impact"/>
      <w:b w:val="0"/>
      <w:color w:val="071015"/>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ackKicker">
    <w:name w:val="Wack Kicker"/>
    <w:pPr>
      <w:keepNext/>
      <w:spacing w:after="100"/>
    </w:pPr>
    <w:rPr>
      <w:rFonts w:ascii="Arial" w:hAnsi="Arial"/>
      <w:b/>
      <w:color w:val="FF882B"/>
      <w:sz w:val="16"/>
    </w:rPr>
  </w:style>
  <w:style w:type="paragraph" w:customStyle="1" w:styleId="WackDeck">
    <w:name w:val="Wack Deck"/>
    <w:pPr>
      <w:spacing w:after="280" w:line="269" w:lineRule="auto"/>
    </w:pPr>
    <w:rPr>
      <w:rFonts w:ascii="Arial" w:hAnsi="Arial"/>
      <w:color w:val="52646B"/>
      <w:sz w:val="28"/>
    </w:rPr>
  </w:style>
  <w:style w:type="paragraph" w:customStyle="1" w:styleId="WackCallout">
    <w:name w:val="Wack Callout"/>
    <w:pPr>
      <w:spacing w:before="140" w:after="220"/>
      <w:ind w:left="259" w:right="259"/>
    </w:pPr>
    <w:rPr>
      <w:rFonts w:ascii="Arial" w:hAnsi="Arial"/>
      <w:b/>
      <w:color w:val="071015"/>
      <w:sz w:val="24"/>
    </w:rPr>
  </w:style>
  <w:style w:type="paragraph" w:customStyle="1" w:styleId="WackFinePrint">
    <w:name w:val="Wack Fine Print"/>
    <w:pPr>
      <w:spacing w:before="140" w:after="0"/>
    </w:pPr>
    <w:rPr>
      <w:rFonts w:ascii="Arial" w:hAnsi="Arial"/>
      <w:color w:val="52646B"/>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Wack Case Files — Season One</dc:title>
  <dc:subject>Wack Case Files publication master</dc:subject>
  <dc:creator>The Cluster of Wack</dc:creator>
  <cp:keywords>PCI DSS, practitioner education, fictional composite</cp:keywords>
  <dc:description>Fictional practitioner composite. Independent resource; not affiliated with or endorsed by PCI SSC.</dc:description>
  <cp:lastModifiedBy>The Cluster of Wack</cp:lastModifiedBy>
  <cp:revision>1</cp:revision>
  <dcterms:created xsi:type="dcterms:W3CDTF">2013-12-23T23:15:00Z</dcterms:created>
  <dcterms:modified xsi:type="dcterms:W3CDTF">2013-12-23T23:15:00Z</dcterms:modified>
  <cp:category/>
</cp:coreProperties>
</file>