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rFonts w:ascii="Arial" w:hAnsi="Arial"/>
          <w:b/>
          <w:i w:val="0"/>
          <w:color w:val="17B8A6"/>
          <w:sz w:val="16"/>
        </w:rPr>
        <w:t>W/ FACILITATOR + PARTICIPANT WORKBOOK  /  WACK-DIAMOND-LAB-0001</w:t>
      </w:r>
    </w:p>
    <w:p>
      <w:pPr>
        <w:pStyle w:val="Title"/>
      </w:pPr>
      <w:r>
        <w:t>Diamond Fulcrum Formation Break</w:t>
      </w:r>
    </w:p>
    <w:p>
      <w:r>
        <w:rPr>
          <w:rFonts w:ascii="Arial" w:hAnsi="Arial"/>
          <w:b w:val="0"/>
          <w:i w:val="0"/>
          <w:color w:val="52636B"/>
          <w:sz w:val="26"/>
        </w:rPr>
        <w:t>The webhook that moved only one document</w:t>
      </w:r>
    </w:p>
    <w:p>
      <w:r>
        <w:rPr>
          <w:rFonts w:ascii="Arial" w:hAnsi="Arial"/>
          <w:b/>
          <w:i w:val="0"/>
          <w:color w:val="17B8A6"/>
          <w:sz w:val="18"/>
        </w:rPr>
        <w:t>45 MINUTES  ·  ONE FICTIONAL CHANGE  ·  FOUR POSITIONS  ·  TEN CONSUMERS</w:t>
      </w:r>
    </w:p>
    <w:p>
      <w:r>
        <w:t>Test whether one changed payment fact causes Scope, Applicability, Implementation and Responsibility, Evidence, and their downstream consumers to move together.</w:t>
      </w:r>
    </w:p>
    <w:tbl>
      <w:tblPr>
        <w:tblW w:type="auto" w:w="0"/>
        <w:jc w:val="left"/>
        <w:tblLook w:firstColumn="1" w:firstRow="1" w:lastColumn="0" w:lastRow="0" w:noHBand="0" w:noVBand="1" w:val="04A0"/>
      </w:tblPr>
      <w:tblGrid>
        <w:gridCol w:w="10166"/>
      </w:tblGrid>
      <w:tr>
        <w:tc>
          <w:tcPr>
            <w:tcW w:type="dxa" w:w="1016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7B8A6"/>
                <w:sz w:val="16"/>
              </w:rPr>
              <w:t>WORKSHOP BOUNDARY</w:t>
              <w:br/>
            </w:r>
            <w:r>
              <w:rPr>
                <w:rFonts w:ascii="Arial" w:hAnsi="Arial"/>
                <w:b w:val="0"/>
                <w:i w:val="0"/>
                <w:color w:val="10181D"/>
                <w:sz w:val="20"/>
              </w:rPr>
              <w:t>This fictional practitioner exercise exposes dependencies, contradictions, and unsupported claims. It does not decide PCI DSS scope, requirement applicability, compliance, validation eligibility, provider responsibility, or acceptance. Use fictional or sanitized information only. Working notes remain on the device unless the participant downloads them.</w:t>
            </w:r>
          </w:p>
        </w:tc>
      </w:tr>
    </w:tbl>
    <w:p/>
    <w:p>
      <w:r>
        <w:rPr>
          <w:rFonts w:ascii="Arial" w:hAnsi="Arial"/>
          <w:b/>
          <w:i w:val="0"/>
          <w:color w:val="10181D"/>
          <w:sz w:val="18"/>
        </w:rPr>
        <w:t>Scott Norton  |  PCI DSS QSA  |  Johanson Group, LLP</w:t>
      </w:r>
    </w:p>
    <w:p>
      <w:r>
        <w:rPr>
          <w:rFonts w:ascii="Arial" w:hAnsi="Arial"/>
          <w:b w:val="0"/>
          <w:i/>
          <w:color w:val="52636B"/>
          <w:sz w:val="16"/>
        </w:rPr>
        <w:t>The Diamond Fulcrum is Scott Norton's independent practitioner model. It is not PCI SSC terminology or U.S. Navy doctrine and does not imply affiliation with or endorsement by PCI SSC, the U.S. Navy, or the Blue Angels.</w:t>
      </w:r>
    </w:p>
    <w:p>
      <w:r>
        <w:br w:type="page"/>
      </w:r>
    </w:p>
    <w:p>
      <w:pPr>
        <w:spacing w:after="140"/>
      </w:pPr>
      <w:r>
        <w:rPr>
          <w:rFonts w:ascii="Arial" w:hAnsi="Arial"/>
          <w:b/>
          <w:i w:val="0"/>
          <w:color w:val="17B8A6"/>
          <w:sz w:val="16"/>
        </w:rPr>
        <w:t>FACILITATOR CONTROL SHEET</w:t>
      </w:r>
    </w:p>
    <w:p>
      <w:pPr>
        <w:pStyle w:val="Title"/>
      </w:pPr>
      <w:r>
        <w:t>Run the break. Observe the method.</w:t>
      </w:r>
    </w:p>
    <w:tbl>
      <w:tblPr>
        <w:tblW w:type="auto" w:w="0"/>
        <w:jc w:val="left"/>
        <w:tblLayout w:type="fixed"/>
        <w:tblLook w:firstColumn="1" w:firstRow="1" w:lastColumn="0" w:lastRow="0" w:noHBand="0" w:noVBand="1" w:val="04A0"/>
      </w:tblPr>
      <w:tblGrid>
        <w:gridCol w:w="1440"/>
        <w:gridCol w:w="2232"/>
        <w:gridCol w:w="6264"/>
      </w:tblGrid>
      <w:tr>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TIME</w:t>
            </w:r>
          </w:p>
        </w:tc>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MOVE</w:t>
            </w:r>
          </w:p>
        </w:tc>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FACILITATOR INSTRUCTION</w:t>
            </w:r>
          </w:p>
        </w:tc>
      </w:tr>
      <w:tr>
        <w:tc>
          <w:tcPr>
            <w:tcW w:type="dxa" w:w="144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00–05</w:t>
            </w:r>
          </w:p>
        </w:tc>
        <w:tc>
          <w:tcPr>
            <w:tcW w:type="dxa" w:w="2232"/>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Freeze the baseline</w:t>
            </w:r>
          </w:p>
        </w:tc>
        <w:tc>
          <w:tcPr>
            <w:tcW w:type="dxa" w:w="626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Read the facts without repairing them. Name the current authoritative fact version.</w:t>
            </w:r>
          </w:p>
        </w:tc>
      </w:tr>
      <w:tr>
        <w:tc>
          <w:tcPr>
            <w:tcW w:type="dxa" w:w="144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05–12</w:t>
            </w:r>
          </w:p>
        </w:tc>
        <w:tc>
          <w:tcPr>
            <w:tcW w:type="dxa" w:w="2232"/>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Fly four positions</w:t>
            </w:r>
          </w:p>
        </w:tc>
        <w:tc>
          <w:tcPr>
            <w:tcW w:type="dxa" w:w="626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Record one bounded claim and one unresolved question for each position.</w:t>
            </w:r>
          </w:p>
        </w:tc>
      </w:tr>
      <w:tr>
        <w:tc>
          <w:tcPr>
            <w:tcW w:type="dxa" w:w="144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12–15</w:t>
            </w:r>
          </w:p>
        </w:tc>
        <w:tc>
          <w:tcPr>
            <w:tcW w:type="dxa" w:w="2232"/>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Inject the change</w:t>
            </w:r>
          </w:p>
        </w:tc>
        <w:tc>
          <w:tcPr>
            <w:tcW w:type="dxa" w:w="626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Reveal the serverless function, workload identity, and support queue.</w:t>
            </w:r>
          </w:p>
        </w:tc>
      </w:tr>
      <w:tr>
        <w:tc>
          <w:tcPr>
            <w:tcW w:type="dxa" w:w="144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15–27</w:t>
            </w:r>
          </w:p>
        </w:tc>
        <w:tc>
          <w:tcPr>
            <w:tcW w:type="dxa" w:w="2232"/>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Move the consumers</w:t>
            </w:r>
          </w:p>
        </w:tc>
        <w:tc>
          <w:tcPr>
            <w:tcW w:type="dxa" w:w="626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Classify each downstream artifact as move, reopen, or hold with a stated reason.</w:t>
            </w:r>
          </w:p>
        </w:tc>
      </w:tr>
      <w:tr>
        <w:tc>
          <w:tcPr>
            <w:tcW w:type="dxa" w:w="144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27–35</w:t>
            </w:r>
          </w:p>
        </w:tc>
        <w:tc>
          <w:tcPr>
            <w:tcW w:type="dxa" w:w="2232"/>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Reconcile contradictions</w:t>
            </w:r>
          </w:p>
        </w:tc>
        <w:tc>
          <w:tcPr>
            <w:tcW w:type="dxa" w:w="626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Name the first stale relationship, unsupported claim, and ownerless verb.</w:t>
            </w:r>
          </w:p>
        </w:tc>
      </w:tr>
      <w:tr>
        <w:tc>
          <w:tcPr>
            <w:tcW w:type="dxa" w:w="144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35–41</w:t>
            </w:r>
          </w:p>
        </w:tc>
        <w:tc>
          <w:tcPr>
            <w:tcW w:type="dxa" w:w="2232"/>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Bound the disposition</w:t>
            </w:r>
          </w:p>
        </w:tc>
        <w:tc>
          <w:tcPr>
            <w:tcW w:type="dxa" w:w="626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State what is supported, what remains unresolved, who owns the next fact, and what reopens the decision.</w:t>
            </w:r>
          </w:p>
        </w:tc>
      </w:tr>
      <w:tr>
        <w:tc>
          <w:tcPr>
            <w:tcW w:type="dxa" w:w="144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t>41–45</w:t>
            </w:r>
          </w:p>
        </w:tc>
        <w:tc>
          <w:tcPr>
            <w:tcW w:type="dxa" w:w="2232"/>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Observe the method</w:t>
            </w:r>
          </w:p>
        </w:tc>
        <w:tc>
          <w:tcPr>
            <w:tcW w:type="dxa" w:w="626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t>Capture the first missed dependency, oral rescue, smallest repair, and retest condition.</w:t>
            </w:r>
          </w:p>
        </w:tc>
      </w:tr>
    </w:tbl>
    <w:tbl>
      <w:tblPr>
        <w:tblW w:type="auto" w:w="0"/>
        <w:jc w:val="left"/>
        <w:tblLook w:firstColumn="1" w:firstRow="1" w:lastColumn="0" w:lastRow="0" w:noHBand="0" w:noVBand="1" w:val="04A0"/>
      </w:tblPr>
      <w:tblGrid>
        <w:gridCol w:w="10166"/>
      </w:tblGrid>
      <w:tr>
        <w:tc>
          <w:tcPr>
            <w:tcW w:type="dxa" w:w="1016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7B8A6"/>
                <w:sz w:val="16"/>
              </w:rPr>
              <w:t>THE ONE RULE</w:t>
              <w:br/>
            </w:r>
            <w:r>
              <w:rPr>
                <w:rFonts w:ascii="Arial" w:hAnsi="Arial"/>
                <w:b w:val="0"/>
                <w:i w:val="0"/>
                <w:color w:val="10181D"/>
                <w:sz w:val="20"/>
              </w:rPr>
              <w:t>Do not repair the scenario while reading it. Record the first dependency the room misses and the first explanation the facilitator has to supply.</w:t>
            </w:r>
          </w:p>
        </w:tc>
      </w:tr>
    </w:tbl>
    <w:p>
      <w:pPr>
        <w:pStyle w:val="Heading2"/>
      </w:pPr>
      <w:r>
        <w:t>Do not collect</w:t>
      </w:r>
    </w:p>
    <w:p>
      <w:r>
        <w:t>Names, email addresses, cardholder data, credentials, client evidence, restricted architecture, or real assessment findings. Use the anonymous observation page.</w:t>
      </w:r>
    </w:p>
    <w:p>
      <w:r>
        <w:br w:type="page"/>
      </w:r>
    </w:p>
    <w:p>
      <w:pPr>
        <w:spacing w:after="140"/>
      </w:pPr>
      <w:r>
        <w:rPr>
          <w:rFonts w:ascii="Arial" w:hAnsi="Arial"/>
          <w:b/>
          <w:i w:val="0"/>
          <w:color w:val="17B8A6"/>
          <w:sz w:val="16"/>
        </w:rPr>
        <w:t>PARTICIPANT BRIEF  /  DO NOT REPAIR YET</w:t>
      </w:r>
    </w:p>
    <w:p>
      <w:pPr>
        <w:pStyle w:val="Title"/>
      </w:pPr>
      <w:r>
        <w:t>The webhook that moved only one document</w:t>
      </w:r>
    </w:p>
    <w:p>
      <w:r>
        <w:rPr>
          <w:rFonts w:ascii="Arial" w:hAnsi="Arial"/>
          <w:b/>
          <w:i w:val="0"/>
          <w:color w:val="17B8A6"/>
          <w:sz w:val="16"/>
        </w:rPr>
        <w:t xml:space="preserve">01  </w:t>
      </w:r>
      <w:r>
        <w:rPr>
          <w:rFonts w:ascii="Arial" w:hAnsi="Arial"/>
          <w:b w:val="0"/>
          <w:i w:val="0"/>
          <w:color w:val="10181D"/>
          <w:sz w:val="20"/>
        </w:rPr>
        <w:t>Northwind Market uses a hosted checkout supplied by a payment service provider.</w:t>
      </w:r>
    </w:p>
    <w:p>
      <w:r>
        <w:rPr>
          <w:rFonts w:ascii="Arial" w:hAnsi="Arial"/>
          <w:b/>
          <w:i w:val="0"/>
          <w:color w:val="17B8A6"/>
          <w:sz w:val="16"/>
        </w:rPr>
        <w:t xml:space="preserve">02  </w:t>
      </w:r>
      <w:r>
        <w:rPr>
          <w:rFonts w:ascii="Arial" w:hAnsi="Arial"/>
          <w:b w:val="0"/>
          <w:i w:val="0"/>
          <w:color w:val="10181D"/>
          <w:sz w:val="20"/>
        </w:rPr>
        <w:t>A production payment-status webhook is exposed through the entity's cloud edge service.</w:t>
      </w:r>
    </w:p>
    <w:p>
      <w:r>
        <w:rPr>
          <w:rFonts w:ascii="Arial" w:hAnsi="Arial"/>
          <w:b/>
          <w:i w:val="0"/>
          <w:color w:val="17B8A6"/>
          <w:sz w:val="16"/>
        </w:rPr>
        <w:t xml:space="preserve">03  </w:t>
      </w:r>
      <w:r>
        <w:rPr>
          <w:rFonts w:ascii="Arial" w:hAnsi="Arial"/>
          <w:b w:val="0"/>
          <w:i w:val="0"/>
          <w:color w:val="10181D"/>
          <w:sz w:val="20"/>
        </w:rPr>
        <w:t>The application inventory and architecture diagram name the new endpoint.</w:t>
      </w:r>
    </w:p>
    <w:p>
      <w:r>
        <w:rPr>
          <w:rFonts w:ascii="Arial" w:hAnsi="Arial"/>
          <w:b/>
          <w:i w:val="0"/>
          <w:color w:val="17B8A6"/>
          <w:sz w:val="16"/>
        </w:rPr>
        <w:t xml:space="preserve">04  </w:t>
      </w:r>
      <w:r>
        <w:rPr>
          <w:rFonts w:ascii="Arial" w:hAnsi="Arial"/>
          <w:b w:val="0"/>
          <w:i w:val="0"/>
          <w:color w:val="10181D"/>
          <w:sz w:val="20"/>
        </w:rPr>
        <w:t>External vulnerability and ASV scan target records still list the prior public addresses.</w:t>
      </w:r>
    </w:p>
    <w:p>
      <w:r>
        <w:rPr>
          <w:rFonts w:ascii="Arial" w:hAnsi="Arial"/>
          <w:b/>
          <w:i w:val="0"/>
          <w:color w:val="17B8A6"/>
          <w:sz w:val="16"/>
        </w:rPr>
        <w:t xml:space="preserve">05  </w:t>
      </w:r>
      <w:r>
        <w:rPr>
          <w:rFonts w:ascii="Arial" w:hAnsi="Arial"/>
          <w:b w:val="0"/>
          <w:i w:val="0"/>
          <w:color w:val="10181D"/>
          <w:sz w:val="20"/>
        </w:rPr>
        <w:t>The penetration-testing methodology does not describe webhook behavior or its trust boundaries.</w:t>
      </w:r>
    </w:p>
    <w:p>
      <w:r>
        <w:rPr>
          <w:rFonts w:ascii="Arial" w:hAnsi="Arial"/>
          <w:b/>
          <w:i w:val="0"/>
          <w:color w:val="17B8A6"/>
          <w:sz w:val="16"/>
        </w:rPr>
        <w:t xml:space="preserve">06  </w:t>
      </w:r>
      <w:r>
        <w:rPr>
          <w:rFonts w:ascii="Arial" w:hAnsi="Arial"/>
          <w:b w:val="0"/>
          <w:i w:val="0"/>
          <w:color w:val="10181D"/>
          <w:sz w:val="20"/>
        </w:rPr>
        <w:t>The provider responsibility record describes payment processing but does not identify callback delivery or customer receiver operation.</w:t>
      </w:r>
    </w:p>
    <w:p>
      <w:r>
        <w:rPr>
          <w:rFonts w:ascii="Arial" w:hAnsi="Arial"/>
          <w:b/>
          <w:i w:val="0"/>
          <w:color w:val="17B8A6"/>
          <w:sz w:val="16"/>
        </w:rPr>
        <w:t xml:space="preserve">07  </w:t>
      </w:r>
      <w:r>
        <w:rPr>
          <w:rFonts w:ascii="Arial" w:hAnsi="Arial"/>
          <w:b w:val="0"/>
          <w:i w:val="0"/>
          <w:color w:val="10181D"/>
          <w:sz w:val="20"/>
        </w:rPr>
        <w:t>A screenshot from staging is attached to a production control claim.</w:t>
      </w:r>
    </w:p>
    <w:p>
      <w:pPr>
        <w:pStyle w:val="Heading2"/>
      </w:pPr>
      <w:r>
        <w:t>Initial fact version</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pPr>
        <w:pStyle w:val="Heading2"/>
      </w:pPr>
      <w:r>
        <w:t>First relationship that seems stale or missing</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r>
        <w:br w:type="page"/>
      </w:r>
    </w:p>
    <w:p>
      <w:pPr>
        <w:spacing w:after="140"/>
      </w:pPr>
      <w:r>
        <w:rPr>
          <w:rFonts w:ascii="Arial" w:hAnsi="Arial"/>
          <w:b/>
          <w:i w:val="0"/>
          <w:color w:val="17B8A6"/>
          <w:sz w:val="16"/>
        </w:rPr>
        <w:t>CHANGE INJECTION  /  REVEAL AT MINUTE 12</w:t>
      </w:r>
    </w:p>
    <w:p>
      <w:pPr>
        <w:pStyle w:val="Title"/>
      </w:pPr>
      <w:r>
        <w:t>The formation moves—or it fractures.</w:t>
      </w:r>
    </w:p>
    <w:tbl>
      <w:tblPr>
        <w:tblW w:type="auto" w:w="0"/>
        <w:jc w:val="left"/>
        <w:tblLook w:firstColumn="1" w:firstRow="1" w:lastColumn="0" w:lastRow="0" w:noHBand="0" w:noVBand="1" w:val="04A0"/>
      </w:tblPr>
      <w:tblGrid>
        <w:gridCol w:w="10166"/>
      </w:tblGrid>
      <w:tr>
        <w:tc>
          <w:tcPr>
            <w:tcW w:type="dxa" w:w="10166"/>
            <w:shd w:fill="FFF0F2"/>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7B8A6"/>
                <w:sz w:val="16"/>
              </w:rPr>
              <w:t>W/! CHANGE INJECTION</w:t>
              <w:br/>
            </w:r>
            <w:r>
              <w:rPr>
                <w:rFonts w:ascii="Arial" w:hAnsi="Arial"/>
                <w:b w:val="0"/>
                <w:i w:val="0"/>
                <w:color w:val="10181D"/>
                <w:sz w:val="20"/>
              </w:rPr>
              <w:t>The webhook now invokes a serverless function through a workload identity and writes transaction references to a managed queue used by customer support.</w:t>
            </w:r>
          </w:p>
        </w:tc>
      </w:tr>
    </w:tbl>
    <w:p>
      <w:pPr>
        <w:pStyle w:val="Heading1"/>
      </w:pPr>
      <w:r>
        <w:t>Changed fact record</w:t>
      </w:r>
    </w:p>
    <w:tbl>
      <w:tblPr>
        <w:tblW w:type="auto" w:w="0"/>
        <w:jc w:val="left"/>
        <w:tblLayout w:type="fixed"/>
        <w:tblLook w:firstColumn="1" w:firstRow="1" w:lastColumn="0" w:lastRow="0" w:noHBand="0" w:noVBand="1" w:val="04A0"/>
      </w:tblPr>
      <w:tblGrid>
        <w:gridCol w:w="3384"/>
        <w:gridCol w:w="6696"/>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6"/>
              </w:rPr>
              <w:t>FIELD</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6"/>
              </w:rPr>
              <w:t>WORKING RECORD</w:t>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Changed subject and relationship</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Prior value</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New value</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Effective time</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Authoritative source</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Fact owner</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Known consumers</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Reopening trigger</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bl>
    <w:p>
      <w:r>
        <w:br w:type="page"/>
      </w:r>
    </w:p>
    <w:p>
      <w:pPr>
        <w:spacing w:after="140"/>
      </w:pPr>
      <w:r>
        <w:rPr>
          <w:rFonts w:ascii="Arial" w:hAnsi="Arial"/>
          <w:b/>
          <w:i w:val="0"/>
          <w:color w:val="17B8A6"/>
          <w:sz w:val="16"/>
        </w:rPr>
        <w:t>FOUR POSITION WORKSHEET</w:t>
      </w:r>
    </w:p>
    <w:p>
      <w:pPr>
        <w:pStyle w:val="Title"/>
      </w:pPr>
      <w:r>
        <w:t>Every position has a different job.</w:t>
      </w:r>
    </w:p>
    <w:p>
      <w:pPr>
        <w:pStyle w:val="Heading2"/>
      </w:pPr>
      <w:r>
        <w:t>01  Scope</w:t>
      </w:r>
    </w:p>
    <w:p>
      <w:r>
        <w:rPr>
          <w:rFonts w:ascii="Arial" w:hAnsi="Arial"/>
          <w:b/>
          <w:i w:val="0"/>
          <w:color w:val="10181D"/>
          <w:sz w:val="18"/>
        </w:rPr>
        <w:t xml:space="preserve">Reopen the represented subjects and relationships. </w:t>
      </w:r>
      <w:r>
        <w:rPr>
          <w:rFonts w:ascii="Arial" w:hAnsi="Arial"/>
          <w:b w:val="0"/>
          <w:i w:val="0"/>
          <w:color w:val="52636B"/>
          <w:sz w:val="18"/>
        </w:rPr>
        <w:t>Which people, processes, technologies, locations, data flows, connected relationships, security-influencing relationships, and provider services require fresh analysis?</w:t>
      </w:r>
    </w:p>
    <w:tbl>
      <w:tblPr>
        <w:tblW w:type="auto" w:w="0"/>
        <w:jc w:val="left"/>
        <w:tblLayout w:type="fixed"/>
        <w:tblLook w:firstColumn="1" w:firstRow="1" w:lastColumn="0" w:lastRow="0" w:noHBand="0" w:noVBand="1" w:val="04A0"/>
      </w:tblPr>
      <w:tblGrid>
        <w:gridCol w:w="4968"/>
        <w:gridCol w:w="4968"/>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BOUNDED CLAIM</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UNRESOLVED QUESTION</w:t>
            </w:r>
          </w:p>
        </w:tc>
      </w:tr>
      <w:tr>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pPr>
        <w:pStyle w:val="Heading2"/>
      </w:pPr>
      <w:r>
        <w:t>02  Applicability</w:t>
      </w:r>
    </w:p>
    <w:p>
      <w:r>
        <w:rPr>
          <w:rFonts w:ascii="Arial" w:hAnsi="Arial"/>
          <w:b/>
          <w:i w:val="0"/>
          <w:color w:val="10181D"/>
          <w:sz w:val="18"/>
        </w:rPr>
        <w:t xml:space="preserve">Reopen predicates that depended on the prior facts. </w:t>
      </w:r>
      <w:r>
        <w:rPr>
          <w:rFonts w:ascii="Arial" w:hAnsi="Arial"/>
          <w:b w:val="0"/>
          <w:i w:val="0"/>
          <w:color w:val="52636B"/>
          <w:sz w:val="18"/>
        </w:rPr>
        <w:t>Which obligations, reporting responses, testing questions, or prior N/A conclusions relied on the old endpoint, identity, data path, or operating model?</w:t>
      </w:r>
    </w:p>
    <w:tbl>
      <w:tblPr>
        <w:tblW w:type="auto" w:w="0"/>
        <w:jc w:val="left"/>
        <w:tblLayout w:type="fixed"/>
        <w:tblLook w:firstColumn="1" w:firstRow="1" w:lastColumn="0" w:lastRow="0" w:noHBand="0" w:noVBand="1" w:val="04A0"/>
      </w:tblPr>
      <w:tblGrid>
        <w:gridCol w:w="4968"/>
        <w:gridCol w:w="4968"/>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BOUNDED CLAIM</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UNRESOLVED QUESTION</w:t>
            </w:r>
          </w:p>
        </w:tc>
      </w:tr>
      <w:tr>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pPr>
        <w:pStyle w:val="Heading2"/>
      </w:pPr>
      <w:r>
        <w:t>03  Implementation and Responsibility</w:t>
      </w:r>
    </w:p>
    <w:p>
      <w:r>
        <w:rPr>
          <w:rFonts w:ascii="Arial" w:hAnsi="Arial"/>
          <w:b/>
          <w:i w:val="0"/>
          <w:color w:val="10181D"/>
          <w:sz w:val="18"/>
        </w:rPr>
        <w:t xml:space="preserve">Name the operating verbs and accountable owners. </w:t>
      </w:r>
      <w:r>
        <w:rPr>
          <w:rFonts w:ascii="Arial" w:hAnsi="Arial"/>
          <w:b w:val="0"/>
          <w:i w:val="0"/>
          <w:color w:val="52636B"/>
          <w:sz w:val="18"/>
        </w:rPr>
        <w:t>Who configures, deploys, monitors, scans, tests, changes, responds, preserves, and proves the edge, function, identity, queue, provider handoff, and support use?</w:t>
      </w:r>
    </w:p>
    <w:tbl>
      <w:tblPr>
        <w:tblW w:type="auto" w:w="0"/>
        <w:jc w:val="left"/>
        <w:tblLayout w:type="fixed"/>
        <w:tblLook w:firstColumn="1" w:firstRow="1" w:lastColumn="0" w:lastRow="0" w:noHBand="0" w:noVBand="1" w:val="04A0"/>
      </w:tblPr>
      <w:tblGrid>
        <w:gridCol w:w="4968"/>
        <w:gridCol w:w="4968"/>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BOUNDED CLAIM</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UNRESOLVED QUESTION</w:t>
            </w:r>
          </w:p>
        </w:tc>
      </w:tr>
      <w:tr>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pPr>
        <w:pStyle w:val="Heading2"/>
      </w:pPr>
      <w:r>
        <w:t>04  Evidence</w:t>
      </w:r>
    </w:p>
    <w:p>
      <w:r>
        <w:rPr>
          <w:rFonts w:ascii="Arial" w:hAnsi="Arial"/>
          <w:b/>
          <w:i w:val="0"/>
          <w:color w:val="10181D"/>
          <w:sz w:val="18"/>
        </w:rPr>
        <w:t xml:space="preserve">Bound what can be supported now. </w:t>
      </w:r>
      <w:r>
        <w:rPr>
          <w:rFonts w:ascii="Arial" w:hAnsi="Arial"/>
          <w:b w:val="0"/>
          <w:i w:val="0"/>
          <w:color w:val="52636B"/>
          <w:sz w:val="18"/>
        </w:rPr>
        <w:t>Which objects support the correct subject, population, period, environment, and procedure—and where do staging evidence, stale targets, or absent propositions stop the claim?</w:t>
      </w:r>
    </w:p>
    <w:tbl>
      <w:tblPr>
        <w:tblW w:type="auto" w:w="0"/>
        <w:jc w:val="left"/>
        <w:tblLayout w:type="fixed"/>
        <w:tblLook w:firstColumn="1" w:firstRow="1" w:lastColumn="0" w:lastRow="0" w:noHBand="0" w:noVBand="1" w:val="04A0"/>
      </w:tblPr>
      <w:tblGrid>
        <w:gridCol w:w="4968"/>
        <w:gridCol w:w="4968"/>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BOUNDED CLAIM</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UNRESOLVED QUESTION</w:t>
            </w:r>
          </w:p>
        </w:tc>
      </w:tr>
      <w:tr>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4968"/>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r>
        <w:br w:type="page"/>
      </w:r>
    </w:p>
    <w:p>
      <w:pPr>
        <w:spacing w:after="140"/>
      </w:pPr>
      <w:r>
        <w:rPr>
          <w:rFonts w:ascii="Arial" w:hAnsi="Arial"/>
          <w:b/>
          <w:i w:val="0"/>
          <w:color w:val="17B8A6"/>
          <w:sz w:val="16"/>
        </w:rPr>
        <w:t>DOWNSTREAM CONSUMER FAN-OUT</w:t>
      </w:r>
    </w:p>
    <w:p>
      <w:pPr>
        <w:pStyle w:val="Title"/>
      </w:pPr>
      <w:r>
        <w:t>Move. Reopen. Or hold with reason.</w:t>
      </w:r>
    </w:p>
    <w:tbl>
      <w:tblPr>
        <w:tblW w:type="auto" w:w="0"/>
        <w:jc w:val="left"/>
        <w:tblLayout w:type="fixed"/>
        <w:tblLook w:firstColumn="1" w:firstRow="1" w:lastColumn="0" w:lastRow="0" w:noHBand="0" w:noVBand="1" w:val="04A0"/>
      </w:tblPr>
      <w:tblGrid>
        <w:gridCol w:w="2520"/>
        <w:gridCol w:w="4680"/>
        <w:gridCol w:w="2880"/>
      </w:tblGrid>
      <w:tr>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4"/>
              </w:rPr>
              <w:t>CONSUMER</w:t>
            </w:r>
          </w:p>
        </w:tc>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4"/>
              </w:rPr>
              <w:t>QUESTION</w:t>
            </w:r>
          </w:p>
        </w:tc>
        <w:tc>
          <w:tcPr>
            <w:tcW w:type="dxa" w:w="3389"/>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4"/>
              </w:rPr>
              <w:t>MOVE / REOPEN / HOLD + REASON</w:t>
            </w:r>
          </w:p>
        </w:tc>
      </w:tr>
      <w:tr>
        <w:tc>
          <w:tcPr>
            <w:tcW w:type="dxa" w:w="252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System and component inventory</w:t>
            </w:r>
          </w:p>
        </w:tc>
        <w:tc>
          <w:tcPr>
            <w:tcW w:type="dxa" w:w="46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Does it identify the edge, function, workload identity, queue, and relevant environments?</w:t>
            </w:r>
          </w:p>
        </w:tc>
        <w:tc>
          <w:tcPr>
            <w:tcW w:type="dxa" w:w="28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Software and application inventory</w:t>
            </w:r>
          </w:p>
        </w:tc>
        <w:tc>
          <w:tcPr>
            <w:tcW w:type="dxa" w:w="46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Does it identify the receiver code, dependencies, deployment source, and change owner?</w:t>
            </w:r>
          </w:p>
        </w:tc>
        <w:tc>
          <w:tcPr>
            <w:tcW w:type="dxa" w:w="28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Architecture and data-flow narrative</w:t>
            </w:r>
          </w:p>
        </w:tc>
        <w:tc>
          <w:tcPr>
            <w:tcW w:type="dxa" w:w="46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 the diagram and narrative agree about normal, failure, support, identity, and provider paths?</w:t>
            </w:r>
          </w:p>
        </w:tc>
        <w:tc>
          <w:tcPr>
            <w:tcW w:type="dxa" w:w="28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Public-presence and scan target records</w:t>
            </w:r>
          </w:p>
        </w:tc>
        <w:tc>
          <w:tcPr>
            <w:tcW w:type="dxa" w:w="46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Have the actual terminating hostnames and infrastructure been reconciled to the applicable scan populations?</w:t>
            </w:r>
          </w:p>
        </w:tc>
        <w:tc>
          <w:tcPr>
            <w:tcW w:type="dxa" w:w="28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Penetration-testing methodology</w:t>
            </w:r>
          </w:p>
        </w:tc>
        <w:tc>
          <w:tcPr>
            <w:tcW w:type="dxa" w:w="46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Does the method test the relevant external interface, trust transitions, identity, and application behavior?</w:t>
            </w:r>
          </w:p>
        </w:tc>
        <w:tc>
          <w:tcPr>
            <w:tcW w:type="dxa" w:w="28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Provider assurance and responsibility</w:t>
            </w:r>
          </w:p>
        </w:tc>
        <w:tc>
          <w:tcPr>
            <w:tcW w:type="dxa" w:w="46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 the exact service, callback behavior, customer configuration, and retained verbs reconcile to current assurance?</w:t>
            </w:r>
          </w:p>
        </w:tc>
        <w:tc>
          <w:tcPr>
            <w:tcW w:type="dxa" w:w="28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Identity and access records</w:t>
            </w:r>
          </w:p>
        </w:tc>
        <w:tc>
          <w:tcPr>
            <w:tcW w:type="dxa" w:w="46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Is the workload identity attributable, bounded, reviewed, monitored, and linked to the correct deployment?</w:t>
            </w:r>
          </w:p>
        </w:tc>
        <w:tc>
          <w:tcPr>
            <w:tcW w:type="dxa" w:w="28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SDLC and change record</w:t>
            </w:r>
          </w:p>
        </w:tc>
        <w:tc>
          <w:tcPr>
            <w:tcW w:type="dxa" w:w="46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Can the released function and configuration be traced from approved change through testing and production?</w:t>
            </w:r>
          </w:p>
        </w:tc>
        <w:tc>
          <w:tcPr>
            <w:tcW w:type="dxa" w:w="28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Evidence contract and claims ledger</w:t>
            </w:r>
          </w:p>
        </w:tc>
        <w:tc>
          <w:tcPr>
            <w:tcW w:type="dxa" w:w="46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Do the evidence subject, environment, population, period, and provenance match the production claim?</w:t>
            </w:r>
          </w:p>
        </w:tc>
        <w:tc>
          <w:tcPr>
            <w:tcW w:type="dxa" w:w="2880"/>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r>
        <w:tc>
          <w:tcPr>
            <w:tcW w:type="dxa" w:w="252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4"/>
              </w:rPr>
              <w:t>Assessment and reporting responses</w:t>
            </w:r>
          </w:p>
        </w:tc>
        <w:tc>
          <w:tcPr>
            <w:tcW w:type="dxa" w:w="46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t>Which prior assertions must reopen before the assessment can describe the current environment?</w:t>
            </w:r>
          </w:p>
        </w:tc>
        <w:tc>
          <w:tcPr>
            <w:tcW w:type="dxa" w:w="2880"/>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4"/>
              </w:rPr>
            </w:r>
          </w:p>
        </w:tc>
      </w:tr>
    </w:tbl>
    <w:p>
      <w:r>
        <w:br w:type="page"/>
      </w:r>
    </w:p>
    <w:p>
      <w:pPr>
        <w:spacing w:after="140"/>
      </w:pPr>
      <w:r>
        <w:rPr>
          <w:rFonts w:ascii="Arial" w:hAnsi="Arial"/>
          <w:b/>
          <w:i w:val="0"/>
          <w:color w:val="17B8A6"/>
          <w:sz w:val="16"/>
        </w:rPr>
        <w:t>CONTRADICTION + HANDOFF RECORD</w:t>
      </w:r>
    </w:p>
    <w:p>
      <w:pPr>
        <w:pStyle w:val="Title"/>
      </w:pPr>
      <w:r>
        <w:t>Stop the conclusion where support ends.</w:t>
      </w:r>
    </w:p>
    <w:tbl>
      <w:tblPr>
        <w:tblW w:type="auto" w:w="0"/>
        <w:jc w:val="left"/>
        <w:tblLayout w:type="fixed"/>
        <w:tblLook w:firstColumn="1" w:firstRow="1" w:lastColumn="0" w:lastRow="0" w:noHBand="0" w:noVBand="1" w:val="04A0"/>
      </w:tblPr>
      <w:tblGrid>
        <w:gridCol w:w="2477"/>
        <w:gridCol w:w="2477"/>
        <w:gridCol w:w="2477"/>
        <w:gridCol w:w="2477"/>
      </w:tblGrid>
      <w:tr>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EXPECTED</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OBSERVED</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ASSERTED</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VALIDATED / NOT VALIDATED</w:t>
            </w:r>
          </w:p>
        </w:tc>
      </w:tr>
      <w:tr>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r>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r>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pPr>
        <w:pStyle w:val="Heading1"/>
      </w:pPr>
      <w:r>
        <w:t>Bounded disposition</w:t>
      </w:r>
    </w:p>
    <w:tbl>
      <w:tblPr>
        <w:tblW w:type="auto" w:w="0"/>
        <w:jc w:val="left"/>
        <w:tblLayout w:type="fixed"/>
        <w:tblLook w:firstColumn="1" w:firstRow="1" w:lastColumn="0" w:lastRow="0" w:noHBand="0" w:noVBand="1" w:val="04A0"/>
      </w:tblPr>
      <w:tblGrid>
        <w:gridCol w:w="2477"/>
        <w:gridCol w:w="2477"/>
        <w:gridCol w:w="2477"/>
        <w:gridCol w:w="2477"/>
      </w:tblGrid>
      <w:tr>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SUPPORTED NOW</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UNRESOLVED</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ACCOUNTABLE OWNER</w:t>
            </w:r>
          </w:p>
        </w:tc>
        <w:tc>
          <w:tcPr>
            <w:tcW w:type="dxa" w:w="2541"/>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5"/>
              </w:rPr>
              <w:t>REOPENING TRIGGER</w:t>
            </w:r>
          </w:p>
        </w:tc>
      </w:tr>
      <w:tr>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r>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c>
          <w:tcPr>
            <w:tcW w:type="dxa" w:w="2477"/>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5"/>
              </w:rPr>
            </w:r>
          </w:p>
        </w:tc>
      </w:tr>
    </w:tbl>
    <w:p>
      <w:pPr>
        <w:pStyle w:val="Heading2"/>
      </w:pPr>
      <w:r>
        <w:t>Assessor validation boundary</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pPr>
        <w:spacing w:after="40"/>
      </w:pPr>
      <w:r>
        <w:rPr>
          <w:rFonts w:ascii="Arial" w:hAnsi="Arial"/>
          <w:b w:val="0"/>
          <w:i w:val="0"/>
          <w:color w:val="A8B2B4"/>
          <w:sz w:val="14"/>
        </w:rPr>
        <w:t>________________________________________________________________________________</w:t>
      </w:r>
    </w:p>
    <w:p>
      <w:r>
        <w:br w:type="page"/>
      </w:r>
    </w:p>
    <w:p>
      <w:pPr>
        <w:spacing w:after="140"/>
      </w:pPr>
      <w:r>
        <w:rPr>
          <w:rFonts w:ascii="Arial" w:hAnsi="Arial"/>
          <w:b/>
          <w:i w:val="0"/>
          <w:color w:val="17B8A6"/>
          <w:sz w:val="16"/>
        </w:rPr>
        <w:t>MODEL RECONSTRUCTION  /  OPEN AFTER THE HANDOFF</w:t>
      </w:r>
    </w:p>
    <w:p>
      <w:pPr>
        <w:pStyle w:val="Title"/>
      </w:pPr>
      <w:r>
        <w:t>A reconstruction—not an answer key.</w:t>
      </w:r>
    </w:p>
    <w:p>
      <w:r>
        <w:rPr>
          <w:rFonts w:ascii="Arial" w:hAnsi="Arial"/>
          <w:b/>
          <w:i w:val="0"/>
          <w:color w:val="17B8A6"/>
          <w:sz w:val="16"/>
        </w:rPr>
        <w:t xml:space="preserve">01  </w:t>
      </w:r>
      <w:r>
        <w:rPr>
          <w:rFonts w:ascii="Arial" w:hAnsi="Arial"/>
          <w:b w:val="0"/>
          <w:i w:val="0"/>
          <w:color w:val="10181D"/>
          <w:sz w:val="20"/>
        </w:rPr>
        <w:t>The changed fact is not merely a new URL; it is a new production relationship among an edge, receiver, workload identity, managed queue, provider callback, and support process.</w:t>
      </w:r>
    </w:p>
    <w:p>
      <w:r>
        <w:rPr>
          <w:rFonts w:ascii="Arial" w:hAnsi="Arial"/>
          <w:b/>
          <w:i w:val="0"/>
          <w:color w:val="17B8A6"/>
          <w:sz w:val="16"/>
        </w:rPr>
        <w:t xml:space="preserve">02  </w:t>
      </w:r>
      <w:r>
        <w:rPr>
          <w:rFonts w:ascii="Arial" w:hAnsi="Arial"/>
          <w:b w:val="0"/>
          <w:i w:val="0"/>
          <w:color w:val="10181D"/>
          <w:sz w:val="20"/>
        </w:rPr>
        <w:t>The public interface and related infrastructure must be reconciled to the applicable external vulnerability, ASV, and penetration-testing populations; the exercise does not predetermine the result of that analysis.</w:t>
      </w:r>
    </w:p>
    <w:p>
      <w:r>
        <w:rPr>
          <w:rFonts w:ascii="Arial" w:hAnsi="Arial"/>
          <w:b/>
          <w:i w:val="0"/>
          <w:color w:val="17B8A6"/>
          <w:sz w:val="16"/>
        </w:rPr>
        <w:t xml:space="preserve">03  </w:t>
      </w:r>
      <w:r>
        <w:rPr>
          <w:rFonts w:ascii="Arial" w:hAnsi="Arial"/>
          <w:b w:val="0"/>
          <w:i w:val="0"/>
          <w:color w:val="10181D"/>
          <w:sz w:val="20"/>
        </w:rPr>
        <w:t>Provider assurance must be reconciled to the exact service and callback behavior while retained customer verbs remain explicit.</w:t>
      </w:r>
    </w:p>
    <w:p>
      <w:r>
        <w:rPr>
          <w:rFonts w:ascii="Arial" w:hAnsi="Arial"/>
          <w:b/>
          <w:i w:val="0"/>
          <w:color w:val="17B8A6"/>
          <w:sz w:val="16"/>
        </w:rPr>
        <w:t xml:space="preserve">04  </w:t>
      </w:r>
      <w:r>
        <w:rPr>
          <w:rFonts w:ascii="Arial" w:hAnsi="Arial"/>
          <w:b w:val="0"/>
          <w:i w:val="0"/>
          <w:color w:val="10181D"/>
          <w:sz w:val="20"/>
        </w:rPr>
        <w:t>The staging screenshot cannot, by itself, support a production implementation claim.</w:t>
      </w:r>
    </w:p>
    <w:p>
      <w:r>
        <w:rPr>
          <w:rFonts w:ascii="Arial" w:hAnsi="Arial"/>
          <w:b/>
          <w:i w:val="0"/>
          <w:color w:val="17B8A6"/>
          <w:sz w:val="16"/>
        </w:rPr>
        <w:t xml:space="preserve">05  </w:t>
      </w:r>
      <w:r>
        <w:rPr>
          <w:rFonts w:ascii="Arial" w:hAnsi="Arial"/>
          <w:b w:val="0"/>
          <w:i w:val="0"/>
          <w:color w:val="10181D"/>
          <w:sz w:val="20"/>
        </w:rPr>
        <w:t>The assessment conclusion stops wherever the current subject, population, period, procedure, ownership, or evidence cannot be supported.</w:t>
      </w:r>
    </w:p>
    <w:tbl>
      <w:tblPr>
        <w:tblW w:type="auto" w:w="0"/>
        <w:jc w:val="left"/>
        <w:tblLook w:firstColumn="1" w:firstRow="1" w:lastColumn="0" w:lastRow="0" w:noHBand="0" w:noVBand="1" w:val="04A0"/>
      </w:tblPr>
      <w:tblGrid>
        <w:gridCol w:w="10166"/>
      </w:tblGrid>
      <w:tr>
        <w:tc>
          <w:tcPr>
            <w:tcW w:type="dxa" w:w="1016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7B8A6"/>
                <w:sz w:val="16"/>
              </w:rPr>
              <w:t>DEBRIEF</w:t>
              <w:br/>
            </w:r>
            <w:r>
              <w:rPr>
                <w:rFonts w:ascii="Arial" w:hAnsi="Arial"/>
                <w:b w:val="0"/>
                <w:i w:val="0"/>
                <w:color w:val="10181D"/>
                <w:sz w:val="20"/>
              </w:rPr>
              <w:t>Which fact changed first? Which position looked current while another remained stale? Which provider and customer verbs needed separation? Which testing population or proposition required reconsideration? What could the evidence support—and where did support stop?</w:t>
            </w:r>
          </w:p>
        </w:tc>
      </w:tr>
    </w:tbl>
    <w:p>
      <w:r>
        <w:br w:type="page"/>
      </w:r>
    </w:p>
    <w:p>
      <w:pPr>
        <w:spacing w:after="140"/>
      </w:pPr>
      <w:r>
        <w:rPr>
          <w:rFonts w:ascii="Arial" w:hAnsi="Arial"/>
          <w:b/>
          <w:i w:val="0"/>
          <w:color w:val="17B8A6"/>
          <w:sz w:val="16"/>
        </w:rPr>
        <w:t>ANONYMOUS METHOD OBSERVATION</w:t>
      </w:r>
    </w:p>
    <w:p>
      <w:pPr>
        <w:pStyle w:val="Title"/>
      </w:pPr>
      <w:r>
        <w:t>Preserve the first fracture.</w:t>
      </w:r>
    </w:p>
    <w:tbl>
      <w:tblPr>
        <w:tblW w:type="auto" w:w="0"/>
        <w:jc w:val="left"/>
        <w:tblLayout w:type="fixed"/>
        <w:tblLook w:firstColumn="1" w:firstRow="1" w:lastColumn="0" w:lastRow="0" w:noHBand="0" w:noVBand="1" w:val="04A0"/>
      </w:tblPr>
      <w:tblGrid>
        <w:gridCol w:w="3384"/>
        <w:gridCol w:w="6696"/>
      </w:tblGrid>
      <w:tr>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6"/>
              </w:rPr>
              <w:t>FIELD</w:t>
            </w:r>
          </w:p>
        </w:tc>
        <w:tc>
          <w:tcPr>
            <w:tcW w:type="dxa" w:w="5083"/>
            <w:shd w:fill="10181D"/>
            <w:tcBorders>
              <w:top w:val="single" w:sz="4" w:color="D4DCDE"/>
              <w:left w:val="single" w:sz="4" w:color="D4DCDE"/>
              <w:bottom w:val="single" w:sz="4" w:color="D4DCDE"/>
              <w:right w:val="single" w:sz="4" w:color="D4DCDE"/>
              <w:insideH w:val="single" w:sz="4" w:color="D4DCDE"/>
              <w:insideV w:val="single" w:sz="4" w:color="D4DCDE"/>
            </w:tcBorders>
            <w:vAlign w:val="center"/>
          </w:tcPr>
          <w:p>
            <w:r>
              <w:rPr>
                <w:rFonts w:ascii="Arial" w:hAnsi="Arial"/>
                <w:b/>
                <w:i w:val="0"/>
                <w:color w:val="FFFFFF"/>
                <w:sz w:val="16"/>
              </w:rPr>
              <w:t>OBSERVATION</w:t>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Session date</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Exact tested surface</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First missed dependency</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First oral rescue, or None</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Smallest repair</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Retest condition</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r>
        <w:tc>
          <w:tcPr>
            <w:tcW w:type="dxa" w:w="3384"/>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Workshop disposition</w:t>
            </w:r>
          </w:p>
        </w:tc>
        <w:tc>
          <w:tcPr>
            <w:tcW w:type="dxa" w:w="6696"/>
            <w:shd w:fill="FFFFFF"/>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t>Repair and retest / Ready for second session / Hold</w:t>
            </w:r>
          </w:p>
        </w:tc>
      </w:tr>
      <w:tr>
        <w:tc>
          <w:tcPr>
            <w:tcW w:type="dxa" w:w="3384"/>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0181D"/>
                <w:sz w:val="16"/>
              </w:rPr>
              <w:t>Known limitation</w:t>
            </w:r>
          </w:p>
        </w:tc>
        <w:tc>
          <w:tcPr>
            <w:tcW w:type="dxa" w:w="669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val="0"/>
                <w:i w:val="0"/>
                <w:color w:val="10181D"/>
                <w:sz w:val="16"/>
              </w:rPr>
            </w:r>
          </w:p>
        </w:tc>
      </w:tr>
    </w:tbl>
    <w:tbl>
      <w:tblPr>
        <w:tblW w:type="auto" w:w="0"/>
        <w:jc w:val="left"/>
        <w:tblLook w:firstColumn="1" w:firstRow="1" w:lastColumn="0" w:lastRow="0" w:noHBand="0" w:noVBand="1" w:val="04A0"/>
      </w:tblPr>
      <w:tblGrid>
        <w:gridCol w:w="10166"/>
      </w:tblGrid>
      <w:tr>
        <w:tc>
          <w:tcPr>
            <w:tcW w:type="dxa" w:w="10166"/>
            <w:shd w:fill="F2F5F3"/>
            <w:tcBorders>
              <w:top w:val="single" w:sz="4" w:color="D4DCDE"/>
              <w:left w:val="single" w:sz="4" w:color="D4DCDE"/>
              <w:bottom w:val="single" w:sz="4" w:color="D4DCDE"/>
              <w:right w:val="single" w:sz="4" w:color="D4DCDE"/>
              <w:insideH w:val="single" w:sz="4" w:color="D4DCDE"/>
              <w:insideV w:val="single" w:sz="4" w:color="D4DCDE"/>
            </w:tcBorders>
          </w:tcPr>
          <w:p>
            <w:r>
              <w:rPr>
                <w:rFonts w:ascii="Arial" w:hAnsi="Arial"/>
                <w:b/>
                <w:i w:val="0"/>
                <w:color w:val="17B8A6"/>
                <w:sz w:val="16"/>
              </w:rPr>
              <w:t>NON-CLAIM</w:t>
              <w:br/>
            </w:r>
            <w:r>
              <w:rPr>
                <w:rFonts w:ascii="Arial" w:hAnsi="Arial"/>
                <w:b w:val="0"/>
                <w:i w:val="0"/>
                <w:color w:val="10181D"/>
                <w:sz w:val="20"/>
              </w:rPr>
              <w:t>This observation evaluates the workshop material. It is not an assessment result, scope conclusion, compliance result, or participant evaluation.</w:t>
            </w:r>
          </w:p>
        </w:tc>
      </w:tr>
    </w:tbl>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2636B"/>
        <w:sz w:val="14"/>
      </w:rPr>
      <w:t>THE CLUSTER OF WACK  /  DIAMOND FULCRUM FORMATION BREAK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10181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Diamond Fulcrum Formation Break Workbook</dc:title>
  <dc:subject/>
  <dc:creator>Scott Norton</dc:creator>
  <cp:keywords/>
  <dc:description>generated by python-docx</dc:description>
  <cp:lastModifiedBy/>
  <cp:revision>1</cp:revision>
  <dcterms:created xsi:type="dcterms:W3CDTF">2013-12-23T23:15:00Z</dcterms:created>
  <dcterms:modified xsi:type="dcterms:W3CDTF">2013-12-23T23:15:00Z</dcterms:modified>
  <cp:category/>
</cp:coreProperties>
</file>