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ckKicker"/>
      </w:pPr>
      <w:r>
        <w:t>THE CLUSTER OF WACK  /  EDITABLE POLICY KIT</w:t>
      </w:r>
    </w:p>
    <w:p>
      <w:pPr>
        <w:pStyle w:val="Title"/>
      </w:pPr>
      <w:r>
        <w:t>Readable PCI Policy Template Pack</w:t>
      </w:r>
    </w:p>
    <w:p>
      <w:pPr>
        <w:spacing w:after="360"/>
      </w:pPr>
      <w:r>
        <w:rPr>
          <w:rFonts w:ascii="Arial" w:hAnsi="Arial"/>
          <w:b/>
          <w:color w:val="071015"/>
          <w:sz w:val="30"/>
        </w:rPr>
        <w:t>Short at the reader. Deep in operation. Traceable all the way through.</w:t>
      </w:r>
    </w:p>
    <w:p>
      <w:r>
        <w:t>This pack helps an organization turn PCI DSS policy obligations into concise reader-facing instructions with controlled operating depth. It includes one core program policy, six focused modules, a coverage map, and a cold-reader test.</w:t>
      </w:r>
    </w:p>
    <w:p>
      <w:r>
        <w:rPr>
          <w:rFonts w:ascii="Arial" w:hAnsi="Arial"/>
          <w:b/>
          <w:color w:val="000000"/>
          <w:sz w:val="21"/>
        </w:rPr>
        <w:t xml:space="preserve">Use boundary. </w:t>
      </w:r>
      <w:r>
        <w:t>These templates are practitioner scaffolding. They are not PCI SSC guidance, an applicability decision, a compliance certificate, or proof that an instruction is current, known, and in use. Replace every placeholder and reconcile the result to the actual environment, current sources, and accountable review.</w:t>
      </w:r>
    </w:p>
    <w:p>
      <w:pPr>
        <w:pStyle w:val="Heading1"/>
      </w:pPr>
      <w:r>
        <w:t>What a concise policy still has to do</w:t>
      </w:r>
    </w:p>
    <w:p>
      <w:pPr>
        <w:pStyle w:val="ListBullet"/>
      </w:pPr>
      <w:r>
        <w:t>Name authority, purpose, boundary, affected people, required behavior, and prohibited states.</w:t>
      </w:r>
    </w:p>
    <w:p>
      <w:pPr>
        <w:pStyle w:val="ListBullet"/>
      </w:pPr>
      <w:r>
        <w:t>Allocate accountable ownership, decision rights, failure response, exception authority, and review triggers.</w:t>
      </w:r>
    </w:p>
    <w:p>
      <w:pPr>
        <w:pStyle w:val="ListBullet"/>
      </w:pPr>
      <w:r>
        <w:t>Lead readers to current standards, procedures, runbooks, configurations, inventories, and evidence records.</w:t>
      </w:r>
    </w:p>
    <w:p>
      <w:pPr>
        <w:pStyle w:val="ListBullet"/>
      </w:pPr>
      <w:r>
        <w:t>Remain traceable to applicable PCI DSS expectations without copying the Standard into the reader surface.</w:t>
      </w:r>
    </w:p>
    <w:p>
      <w:pPr>
        <w:pStyle w:val="ListBullet"/>
      </w:pPr>
      <w:r>
        <w:t>Survive a cold-reader test at the moment of work, not only an annual acknowledgment workflow.</w:t>
      </w:r>
    </w:p>
    <w:p>
      <w:pPr>
        <w:pStyle w:val="Heading1"/>
      </w:pPr>
      <w:r>
        <w:t>Pack contents</w:t>
      </w:r>
    </w:p>
    <w:p>
      <w:pPr>
        <w:pStyle w:val="ListBullet"/>
      </w:pPr>
      <w:r>
        <w:rPr>
          <w:b/>
        </w:rPr>
        <w:t xml:space="preserve">Core PCI DSS compliance program policy. </w:t>
      </w:r>
      <w:r>
        <w:t>Program authority and shared operating rules</w:t>
      </w:r>
    </w:p>
    <w:p>
      <w:pPr>
        <w:pStyle w:val="ListBullet"/>
      </w:pPr>
      <w:r>
        <w:rPr>
          <w:b/>
        </w:rPr>
        <w:t xml:space="preserve">Access and identity. </w:t>
      </w:r>
      <w:r>
        <w:t>Human, workload, privileged, provider, and emergency identity decisions</w:t>
      </w:r>
    </w:p>
    <w:p>
      <w:pPr>
        <w:pStyle w:val="ListBullet"/>
      </w:pPr>
      <w:r>
        <w:rPr>
          <w:b/>
        </w:rPr>
        <w:t xml:space="preserve">Secure configuration and change. </w:t>
      </w:r>
      <w:r>
        <w:t>Configuration, approved services, controlled change, and drift</w:t>
      </w:r>
    </w:p>
    <w:p>
      <w:pPr>
        <w:pStyle w:val="ListBullet"/>
      </w:pPr>
      <w:r>
        <w:rPr>
          <w:b/>
        </w:rPr>
        <w:t xml:space="preserve">Vulnerability management and testing. </w:t>
      </w:r>
      <w:r>
        <w:t>Populations, methods, findings, retests, and missed activities</w:t>
      </w:r>
    </w:p>
    <w:p>
      <w:pPr>
        <w:pStyle w:val="ListBullet"/>
      </w:pPr>
      <w:r>
        <w:rPr>
          <w:b/>
        </w:rPr>
        <w:t xml:space="preserve">Logging and monitoring. </w:t>
      </w:r>
      <w:r>
        <w:t>Coverage, reviews, alert handling, telemetry failure, and provider boundaries</w:t>
      </w:r>
    </w:p>
    <w:p>
      <w:pPr>
        <w:pStyle w:val="ListBullet"/>
      </w:pPr>
      <w:r>
        <w:rPr>
          <w:b/>
        </w:rPr>
        <w:t xml:space="preserve">Incident response. </w:t>
      </w:r>
      <w:r>
        <w:t>Reporting, authority, evidence preservation, exercises, and change fan-out</w:t>
      </w:r>
    </w:p>
    <w:p>
      <w:pPr>
        <w:pStyle w:val="ListBullet"/>
      </w:pPr>
      <w:r>
        <w:rPr>
          <w:b/>
        </w:rPr>
        <w:t xml:space="preserve">TPSP governance. </w:t>
      </w:r>
      <w:r>
        <w:t>Exact services, responsibilities, assurance, customer work, and contingency</w:t>
      </w:r>
    </w:p>
    <w:p>
      <w:pPr>
        <w:pStyle w:val="ListBullet"/>
      </w:pPr>
      <w:r>
        <w:rPr>
          <w:b/>
        </w:rPr>
        <w:t xml:space="preserve">Policy coverage map. </w:t>
      </w:r>
      <w:r>
        <w:t>The join from concise statement to source, operation, evidence, and review</w:t>
      </w:r>
    </w:p>
    <w:p>
      <w:pPr>
        <w:sectPr>
          <w:footerReference w:type="default" r:id="rId9"/>
          <w:pgSz w:w="12240" w:h="15840"/>
          <w:pgMar w:top="1037" w:right="1181" w:bottom="1008" w:left="1181" w:header="720" w:footer="720" w:gutter="0"/>
          <w:cols w:space="720"/>
          <w:docGrid w:linePitch="360"/>
        </w:sectPr>
      </w:pPr>
    </w:p>
    <w:p>
      <w:pPr>
        <w:pStyle w:val="Title"/>
      </w:pPr>
      <w:r>
        <w:t>PCI DSS Compliance Program Policy</w:t>
      </w:r>
    </w:p>
    <w:p>
      <w:r/>
      <w:r>
        <w:rPr>
          <w:b/>
        </w:rPr>
        <w:t>Owner:</w:t>
      </w:r>
      <w:r>
        <w:t xml:space="preserve"> [Accountable role]</w:t>
      </w:r>
    </w:p>
    <w:p>
      <w:r/>
      <w:r>
        <w:rPr>
          <w:b/>
        </w:rPr>
        <w:t>Approver:</w:t>
      </w:r>
      <w:r>
        <w:t xml:space="preserve"> [Decision authority]</w:t>
      </w:r>
    </w:p>
    <w:p>
      <w:r/>
      <w:r>
        <w:rPr>
          <w:b/>
        </w:rPr>
        <w:t>Effective date:</w:t>
      </w:r>
      <w:r>
        <w:t xml:space="preserve"> [Date]</w:t>
      </w:r>
    </w:p>
    <w:p>
      <w:r/>
      <w:r>
        <w:rPr>
          <w:b/>
        </w:rPr>
        <w:t>Version:</w:t>
      </w:r>
      <w:r>
        <w:t xml:space="preserve"> [Version]</w:t>
      </w:r>
    </w:p>
    <w:p>
      <w:r/>
      <w:r>
        <w:rPr>
          <w:b/>
        </w:rPr>
        <w:t>Next review:</w:t>
      </w:r>
      <w:r>
        <w:t xml:space="preserve"> [Date or event]</w:t>
      </w:r>
    </w:p>
    <w:p>
      <w:pPr>
        <w:pStyle w:val="Heading1"/>
      </w:pPr>
      <w:r>
        <w:t>Purpose and authority</w:t>
      </w:r>
    </w:p>
    <w:p>
      <w:r>
        <w:t>[Organization] protects payment account data and operates its PCI DSS compliance program as an ongoing business responsibility. This policy establishes the decisions, responsibilities, and operating links that govern that program.</w:t>
      </w:r>
    </w:p>
    <w:p>
      <w:pPr>
        <w:pStyle w:val="Heading1"/>
      </w:pPr>
      <w:r>
        <w:t>Applies to</w:t>
      </w:r>
    </w:p>
    <w:p>
      <w:r>
        <w:t>This policy applies to [people, business units, legal entities, locations, systems, services, processes, providers, and environments]. The current scoped population is maintained in [authoritative scope and inventory records].</w:t>
      </w:r>
    </w:p>
    <w:p>
      <w:pPr>
        <w:pStyle w:val="Heading1"/>
      </w:pPr>
      <w:r>
        <w:t>Required behavior</w:t>
      </w:r>
    </w:p>
    <w:p>
      <w:pPr>
        <w:pStyle w:val="ListBullet"/>
      </w:pPr>
      <w:r>
        <w:t>The organization shall maintain an attributable payment-data and security-influence story covering in-scope and connected-to or security-impacting people, processes, technology, locations, and service providers as applicable.</w:t>
      </w:r>
    </w:p>
    <w:p>
      <w:pPr>
        <w:pStyle w:val="ListBullet"/>
      </w:pPr>
      <w:r>
        <w:t>Applicable PCI DSS requirements shall be assigned to accountable owners and translated into current standards, procedures, runbooks, configurations, schedules, and evidence expectations.</w:t>
      </w:r>
    </w:p>
    <w:p>
      <w:pPr>
        <w:pStyle w:val="ListBullet"/>
      </w:pPr>
      <w:r>
        <w:t>Required activities shall be performed for the correct population and period. Late, missed, failed, incomplete, or contradictory states shall remain visible and shall follow the escalation and assessment path in [record].</w:t>
      </w:r>
    </w:p>
    <w:p>
      <w:pPr>
        <w:pStyle w:val="ListBullet"/>
      </w:pPr>
      <w:r>
        <w:t>TPSP reliance shall identify the exact service, applicable responsibility, customer action, current assurance, evidence, limitation, and contingency path.</w:t>
      </w:r>
    </w:p>
    <w:p>
      <w:pPr>
        <w:pStyle w:val="ListBullet"/>
      </w:pPr>
      <w:r>
        <w:t>Material changes, incidents, failures, provider changes, and authoritative-source changes shall reopen affected scope, applicability, responsibility, implementation, testing, evidence, and reporting claims.</w:t>
      </w:r>
    </w:p>
    <w:p>
      <w:pPr>
        <w:pStyle w:val="ListBullet"/>
      </w:pPr>
      <w:r>
        <w:t>Records used to support the compliance program shall preserve provenance, subject, population, period, owner, limitations, and the claim they support.</w:t>
      </w:r>
    </w:p>
    <w:p>
      <w:pPr>
        <w:pStyle w:val="Heading1"/>
      </w:pPr>
      <w:r>
        <w:t>Decision rights and responsibility</w:t>
      </w:r>
    </w:p>
    <w:p>
      <w:r>
        <w:t>[Executive role] owns program authority. [PCI program role] coordinates the program. Business and technical owners operate assigned controls and produce records. [Exception authority] decides exceptions within documented authority. Assessors evaluate evidence and reach assessment conclusions. The compliance-accepting entity retains its program acceptance authority.</w:t>
      </w:r>
    </w:p>
    <w:p>
      <w:pPr>
        <w:pStyle w:val="Heading1"/>
      </w:pPr>
      <w:r>
        <w:t>Failure and escalation</w:t>
      </w:r>
    </w:p>
    <w:p>
      <w:r>
        <w:t>Anyone who identifies a suspected control failure, missed activity, scope discrepancy, unauthorized payment path, provider-coverage change, or material evidence contradiction shall notify [role or channel] within [time]. The organization shall preserve the facts, bound immediate security action, assign corrective work, and identify affected claims and reporting obligations.</w:t>
      </w:r>
    </w:p>
    <w:p>
      <w:pPr>
        <w:pStyle w:val="Heading1"/>
      </w:pPr>
      <w:r>
        <w:t>Exceptions</w:t>
      </w:r>
    </w:p>
    <w:p>
      <w:r>
        <w:t>Exceptions require [authority], a defined constraint and rationale, affected boundary, risk and additional controls as applicable, owner, monitoring, evidence, approval date, expiration, and exit or reassessment trigger. An exception does not change requirement applicability by declaration.</w:t>
      </w:r>
    </w:p>
    <w:p>
      <w:pPr>
        <w:pStyle w:val="Heading1"/>
      </w:pPr>
      <w:r>
        <w:t>Operating references</w:t>
      </w:r>
    </w:p>
    <w:p>
      <w:pPr>
        <w:pStyle w:val="ListBullet"/>
      </w:pPr>
      <w:r>
        <w:t>Scope graph, inventories, and data flows: [links]</w:t>
      </w:r>
    </w:p>
    <w:p>
      <w:pPr>
        <w:pStyle w:val="ListBullet"/>
      </w:pPr>
      <w:r>
        <w:t>Responsibility and TPSP records: [links]</w:t>
      </w:r>
    </w:p>
    <w:p>
      <w:pPr>
        <w:pStyle w:val="ListBullet"/>
      </w:pPr>
      <w:r>
        <w:t>Standards and control statements: [links]</w:t>
      </w:r>
    </w:p>
    <w:p>
      <w:pPr>
        <w:pStyle w:val="ListBullet"/>
      </w:pPr>
      <w:r>
        <w:t>Procedures and evidence-producing runbooks: [links]</w:t>
      </w:r>
    </w:p>
    <w:p>
      <w:pPr>
        <w:pStyle w:val="ListBullet"/>
      </w:pPr>
      <w:r>
        <w:t>Obligation calendar and occurrence history: [links]</w:t>
      </w:r>
    </w:p>
    <w:p>
      <w:pPr>
        <w:pStyle w:val="ListBullet"/>
      </w:pPr>
      <w:r>
        <w:t>Evidence and claims registers: [links]</w:t>
      </w:r>
    </w:p>
    <w:p>
      <w:pPr>
        <w:pStyle w:val="ListBullet"/>
      </w:pPr>
      <w:r>
        <w:t>Incident response and escalation: [links]</w:t>
      </w:r>
    </w:p>
    <w:p>
      <w:pPr>
        <w:pStyle w:val="Heading1"/>
      </w:pPr>
      <w:r>
        <w:t>Review and communication</w:t>
      </w:r>
    </w:p>
    <w:p>
      <w:r>
        <w:t>The owner shall review this policy at least annually and after relevant change. Review shall test current scope, responsibilities, operating links, exceptions, failures, and affected-reader comprehension—not only the document date. The approved current version shall be published at [location] and communicated to affected parties.</w:t>
      </w:r>
    </w:p>
    <w:p>
      <w:pPr>
        <w:sectPr>
          <w:footerReference w:type="default" r:id="rId10"/>
          <w:pgSz w:w="12240" w:h="15840"/>
          <w:pgMar w:top="1037" w:right="1181" w:bottom="1008" w:left="1181" w:header="720" w:footer="720" w:gutter="0"/>
          <w:cols w:space="720"/>
          <w:docGrid w:linePitch="360"/>
        </w:sectPr>
      </w:pPr>
    </w:p>
    <w:p>
      <w:pPr>
        <w:pStyle w:val="Title"/>
      </w:pPr>
      <w:r>
        <w:t>Payment Environment Access and Identity Policy</w:t>
      </w:r>
    </w:p>
    <w:p>
      <w:r/>
      <w:r>
        <w:rPr>
          <w:b/>
        </w:rPr>
        <w:t>Owner:</w:t>
      </w:r>
      <w:r>
        <w:t xml:space="preserve"> [Role]</w:t>
      </w:r>
    </w:p>
    <w:p>
      <w:r/>
      <w:r>
        <w:rPr>
          <w:b/>
        </w:rPr>
        <w:t>Applies to:</w:t>
      </w:r>
      <w:r>
        <w:t xml:space="preserve"> [Human, privileged, service, workload, emergency, guest, federated, and provider identities]</w:t>
      </w:r>
    </w:p>
    <w:p>
      <w:pPr>
        <w:pStyle w:val="Heading1"/>
      </w:pPr>
      <w:r>
        <w:t>Required behavior</w:t>
      </w:r>
    </w:p>
    <w:p>
      <w:pPr>
        <w:pStyle w:val="ListBullet"/>
      </w:pPr>
      <w:r>
        <w:t>Access shall be authorized for a defined business need and limited to the privileges, systems, data, functions, environment, and period required.</w:t>
      </w:r>
    </w:p>
    <w:p>
      <w:pPr>
        <w:pStyle w:val="ListBullet"/>
      </w:pPr>
      <w:r>
        <w:t>Every identity shall be attributable to an owner and lifecycle state. Shared or generic access shall be prohibited except where explicitly allowed, controlled, and attributable under [standard].</w:t>
      </w:r>
    </w:p>
    <w:p>
      <w:pPr>
        <w:pStyle w:val="ListBullet"/>
      </w:pPr>
      <w:r>
        <w:t>Privileged, remote, emergency, provider, and workload access shall follow [standards and procedures] and produce the required authorization, authentication, use, review, and revocation records.</w:t>
      </w:r>
    </w:p>
    <w:p>
      <w:pPr>
        <w:pStyle w:val="ListBullet"/>
      </w:pPr>
      <w:r>
        <w:t>Access populations shall be reconciled from authoritative sources and reviewed at [frequency or trigger]. Removals and exceptions shall be tracked through verified completion.</w:t>
      </w:r>
    </w:p>
    <w:p>
      <w:pPr>
        <w:pStyle w:val="ListBullet"/>
      </w:pPr>
      <w:r>
        <w:t>A termination, role change, privilege escalation, identity-source change, provider-access change, or authentication-control failure shall trigger [response and reopening path].</w:t>
      </w:r>
    </w:p>
    <w:p>
      <w:pPr>
        <w:pStyle w:val="Heading1"/>
      </w:pPr>
      <w:r>
        <w:t>Failure and exception path</w:t>
      </w:r>
    </w:p>
    <w:p>
      <w:r>
        <w:t>Suspected unauthorized, excessive, unattributable, stale, or unreviewed access shall be contained or bounded, preserved as an operating fact, escalated to [role], investigated, corrected, and retested. Exceptions require [authority], expiration, monitoring, and evidence.</w:t>
      </w:r>
    </w:p>
    <w:p>
      <w:pPr>
        <w:pStyle w:val="Heading1"/>
      </w:pPr>
      <w:r>
        <w:t>Operating links</w:t>
      </w:r>
    </w:p>
    <w:p>
      <w:r>
        <w:t>[Identity inventory] · [Access standard] · [Provisioning runbook] · [Review runbook] · [Emergency-access procedure] · [Evidence contract]</w:t>
      </w:r>
    </w:p>
    <w:p>
      <w:pPr>
        <w:sectPr>
          <w:footerReference w:type="default" r:id="rId11"/>
          <w:pgSz w:w="12240" w:h="15840"/>
          <w:pgMar w:top="1037" w:right="1181" w:bottom="1008" w:left="1181" w:header="720" w:footer="720" w:gutter="0"/>
          <w:cols w:space="720"/>
          <w:docGrid w:linePitch="360"/>
        </w:sectPr>
      </w:pPr>
    </w:p>
    <w:p>
      <w:pPr>
        <w:pStyle w:val="Title"/>
      </w:pPr>
      <w:r>
        <w:t>Secure Configuration and Change Policy</w:t>
      </w:r>
    </w:p>
    <w:p>
      <w:r/>
      <w:r>
        <w:rPr>
          <w:b/>
        </w:rPr>
        <w:t>Owner:</w:t>
      </w:r>
      <w:r>
        <w:t xml:space="preserve"> [Role]</w:t>
      </w:r>
    </w:p>
    <w:p>
      <w:r/>
      <w:r>
        <w:rPr>
          <w:b/>
        </w:rPr>
        <w:t>Applies to:</w:t>
      </w:r>
      <w:r>
        <w:t xml:space="preserve"> [System, software, cloud, network, device, service, and configuration populations]</w:t>
      </w:r>
    </w:p>
    <w:p>
      <w:pPr>
        <w:pStyle w:val="Heading1"/>
      </w:pPr>
      <w:r>
        <w:t>Required behavior</w:t>
      </w:r>
    </w:p>
    <w:p>
      <w:pPr>
        <w:pStyle w:val="ListBullet"/>
      </w:pPr>
      <w:r>
        <w:t>In-scope and security-impacting components shall use approved configuration standards appropriate to their technology and function.</w:t>
      </w:r>
    </w:p>
    <w:p>
      <w:pPr>
        <w:pStyle w:val="ListBullet"/>
      </w:pPr>
      <w:r>
        <w:t>Services, protocols, ports, daemons, functions, accounts, and features shall be enabled only when their business and technical need is approved and traceable.</w:t>
      </w:r>
    </w:p>
    <w:p>
      <w:pPr>
        <w:pStyle w:val="ListBullet"/>
      </w:pPr>
      <w:r>
        <w:t>Changes shall be authorized, tested, reviewed for security and PCI impact, implemented through controlled paths, verified, and recoverable as defined in [change standard and runbook].</w:t>
      </w:r>
    </w:p>
    <w:p>
      <w:pPr>
        <w:pStyle w:val="ListBullet"/>
      </w:pPr>
      <w:r>
        <w:t>Configuration and deployment records shall identify the subject, version, actor, approval, change, time, validation, exception, and resulting evidence.</w:t>
      </w:r>
    </w:p>
    <w:p>
      <w:pPr>
        <w:pStyle w:val="ListBullet"/>
      </w:pPr>
      <w:r>
        <w:t>Emergency, provider-initiated, infrastructure-as-code, image, function, container, client-side, and security-control changes shall follow the applicable bounded path rather than bypassing governance.</w:t>
      </w:r>
    </w:p>
    <w:p>
      <w:pPr>
        <w:pStyle w:val="Heading1"/>
      </w:pPr>
      <w:r>
        <w:t>Failure and exception path</w:t>
      </w:r>
    </w:p>
    <w:p>
      <w:r>
        <w:t>Unauthorized change, drift, failed validation, unsupported configuration, or changed scope fact shall trigger [containment, rollback, escalation, evidence preservation, correction, and reassessment steps]. Exceptions require [authority], expiration, monitoring, and a replacement or exit condition.</w:t>
      </w:r>
    </w:p>
    <w:p>
      <w:pPr>
        <w:pStyle w:val="Heading1"/>
      </w:pPr>
      <w:r>
        <w:t>Operating links</w:t>
      </w:r>
    </w:p>
    <w:p>
      <w:r>
        <w:t>[Component inventory] · [Configuration standards] · [Approved services record] · [Change procedure] · [Emergency runbook] · [Drift evidence]</w:t>
      </w:r>
    </w:p>
    <w:p>
      <w:pPr>
        <w:sectPr>
          <w:footerReference w:type="default" r:id="rId12"/>
          <w:pgSz w:w="12240" w:h="15840"/>
          <w:pgMar w:top="1037" w:right="1181" w:bottom="1008" w:left="1181" w:header="720" w:footer="720" w:gutter="0"/>
          <w:cols w:space="720"/>
          <w:docGrid w:linePitch="360"/>
        </w:sectPr>
      </w:pPr>
    </w:p>
    <w:p>
      <w:pPr>
        <w:pStyle w:val="Title"/>
      </w:pPr>
      <w:r>
        <w:t>Vulnerability Management and Security Testing Policy</w:t>
      </w:r>
    </w:p>
    <w:p>
      <w:r/>
      <w:r>
        <w:rPr>
          <w:b/>
        </w:rPr>
        <w:t>Owner:</w:t>
      </w:r>
      <w:r>
        <w:t xml:space="preserve"> [Role]</w:t>
      </w:r>
    </w:p>
    <w:p>
      <w:r/>
      <w:r>
        <w:rPr>
          <w:b/>
        </w:rPr>
        <w:t>Applies to:</w:t>
      </w:r>
      <w:r>
        <w:t xml:space="preserve"> [Internal, external, application, public-presence, segmentation, wireless, and provider-supported populations]</w:t>
      </w:r>
    </w:p>
    <w:p>
      <w:pPr>
        <w:pStyle w:val="Heading1"/>
      </w:pPr>
      <w:r>
        <w:t>Required behavior</w:t>
      </w:r>
    </w:p>
    <w:p>
      <w:pPr>
        <w:pStyle w:val="ListBullet"/>
      </w:pPr>
      <w:r>
        <w:t>The organization shall maintain complete candidate populations for applicable vulnerability scanning, ASV scanning, penetration testing, segmentation testing, application testing, and other security validation.</w:t>
      </w:r>
    </w:p>
    <w:p>
      <w:pPr>
        <w:pStyle w:val="ListBullet"/>
      </w:pPr>
      <w:r>
        <w:t>Findings shall be evaluated, assigned, corrected, rescanned or retested, and closed through [process] within applicable timelines and risk-based prioritization requirements.</w:t>
      </w:r>
    </w:p>
    <w:p>
      <w:pPr>
        <w:pStyle w:val="ListBullet"/>
      </w:pPr>
      <w:r>
        <w:t>Representative selection shall begin with the complete population and preserve every material variant relevant to the tested proposition.</w:t>
      </w:r>
    </w:p>
    <w:p>
      <w:pPr>
        <w:pStyle w:val="ListBullet"/>
      </w:pPr>
      <w:r>
        <w:t>Methodologies, rules of engagement, constraints, exclusions, observations, findings, corrections, retests, and limitations shall remain traceable to the tested subject and conclusion.</w:t>
      </w:r>
    </w:p>
    <w:p>
      <w:pPr>
        <w:pStyle w:val="ListBullet"/>
      </w:pPr>
      <w:r>
        <w:t>A missed required activity shall remain historically visible and follow [corrective, assessment, and accepting-entity path]; later success shall not be represented as the missing occurrence.</w:t>
      </w:r>
    </w:p>
    <w:p>
      <w:pPr>
        <w:pStyle w:val="Heading1"/>
      </w:pPr>
      <w:r>
        <w:t>Failure and exception path</w:t>
      </w:r>
    </w:p>
    <w:p>
      <w:r>
        <w:t>Incomplete population, missed cadence, unsafe test condition, unavailable access, failed test, unresolved finding, or provider limitation shall be escalated to [role], bounded, recorded, corrected where possible, and reflected in affected conclusions.</w:t>
      </w:r>
    </w:p>
    <w:p>
      <w:pPr>
        <w:pStyle w:val="Heading1"/>
      </w:pPr>
      <w:r>
        <w:t>Operating links</w:t>
      </w:r>
    </w:p>
    <w:p>
      <w:r>
        <w:t>[Asset and public-presence inventories] · [Scan runbooks] · [Penetration-test methodology] · [Finding lifecycle] · [Retest evidence] · [Occurrence ledger]</w:t>
      </w:r>
    </w:p>
    <w:p>
      <w:pPr>
        <w:sectPr>
          <w:footerReference w:type="default" r:id="rId13"/>
          <w:pgSz w:w="12240" w:h="15840"/>
          <w:pgMar w:top="1037" w:right="1181" w:bottom="1008" w:left="1181" w:header="720" w:footer="720" w:gutter="0"/>
          <w:cols w:space="720"/>
          <w:docGrid w:linePitch="360"/>
        </w:sectPr>
      </w:pPr>
    </w:p>
    <w:p>
      <w:pPr>
        <w:pStyle w:val="Title"/>
      </w:pPr>
      <w:r>
        <w:t>Logging and Monitoring Policy</w:t>
      </w:r>
    </w:p>
    <w:p>
      <w:r/>
      <w:r>
        <w:rPr>
          <w:b/>
        </w:rPr>
        <w:t>Owner:</w:t>
      </w:r>
      <w:r>
        <w:t xml:space="preserve"> [Role]</w:t>
      </w:r>
    </w:p>
    <w:p>
      <w:r/>
      <w:r>
        <w:rPr>
          <w:b/>
        </w:rPr>
        <w:t>Applies to:</w:t>
      </w:r>
      <w:r>
        <w:t xml:space="preserve"> [Systems, applications, identities, security tools, cloud services, providers, and event populations]</w:t>
      </w:r>
    </w:p>
    <w:p>
      <w:pPr>
        <w:pStyle w:val="Heading1"/>
      </w:pPr>
      <w:r>
        <w:t>Required behavior</w:t>
      </w:r>
    </w:p>
    <w:p>
      <w:pPr>
        <w:pStyle w:val="ListBullet"/>
      </w:pPr>
      <w:r>
        <w:t>Required security and payment-environment events shall be generated, time-synchronized, protected, available, reviewed, and retained for the applicable subjects and periods.</w:t>
      </w:r>
    </w:p>
    <w:p>
      <w:pPr>
        <w:pStyle w:val="ListBullet"/>
      </w:pPr>
      <w:r>
        <w:t>Logging and monitoring coverage shall be mapped to current inventories, data and influence paths, identity planes, public presences, administrative paths, and security-control dependencies.</w:t>
      </w:r>
    </w:p>
    <w:p>
      <w:pPr>
        <w:pStyle w:val="ListBullet"/>
      </w:pPr>
      <w:r>
        <w:t>Reviews and alert handling shall identify the population, period, analyst or automated actor, decision, exception, escalation, and resulting record.</w:t>
      </w:r>
    </w:p>
    <w:p>
      <w:pPr>
        <w:pStyle w:val="ListBullet"/>
      </w:pPr>
      <w:r>
        <w:t>Disabled, delayed, missing, malformed, inaccessible, or contradictory telemetry shall be treated as a control state requiring [response], not silently as a period with no events.</w:t>
      </w:r>
    </w:p>
    <w:p>
      <w:pPr>
        <w:pStyle w:val="ListBullet"/>
      </w:pPr>
      <w:r>
        <w:t>Provider-native logs and managed detection services shall be bounded by exact service, enablement, permission, coverage, retention, responsibility, limitation, and customer action.</w:t>
      </w:r>
    </w:p>
    <w:p>
      <w:pPr>
        <w:pStyle w:val="Heading1"/>
      </w:pPr>
      <w:r>
        <w:t>Failure and exception path</w:t>
      </w:r>
    </w:p>
    <w:p>
      <w:r>
        <w:t>Telemetry loss, review failure, unhandled alert, retention gap, time-source failure, or monitoring blind spot shall be escalated to [role], bounded by affected subject and period, corrected, and assessed for downstream claim impact.</w:t>
      </w:r>
    </w:p>
    <w:p>
      <w:pPr>
        <w:pStyle w:val="Heading1"/>
      </w:pPr>
      <w:r>
        <w:t>Operating links</w:t>
      </w:r>
    </w:p>
    <w:p>
      <w:r>
        <w:t>[Event inventory] · [Logging standard] · [Review runbooks] · [Alert procedure] · [Provider responsibility] · [Occurrence and evidence records]</w:t>
      </w:r>
    </w:p>
    <w:p>
      <w:pPr>
        <w:sectPr>
          <w:footerReference w:type="default" r:id="rId14"/>
          <w:pgSz w:w="12240" w:h="15840"/>
          <w:pgMar w:top="1037" w:right="1181" w:bottom="1008" w:left="1181" w:header="720" w:footer="720" w:gutter="0"/>
          <w:cols w:space="720"/>
          <w:docGrid w:linePitch="360"/>
        </w:sectPr>
      </w:pPr>
    </w:p>
    <w:p>
      <w:pPr>
        <w:pStyle w:val="Title"/>
      </w:pPr>
      <w:r>
        <w:t>Payment Security Incident Response Policy</w:t>
      </w:r>
    </w:p>
    <w:p>
      <w:r/>
      <w:r>
        <w:rPr>
          <w:b/>
        </w:rPr>
        <w:t>Owner:</w:t>
      </w:r>
      <w:r>
        <w:t xml:space="preserve"> [Role]</w:t>
      </w:r>
    </w:p>
    <w:p>
      <w:r/>
      <w:r>
        <w:rPr>
          <w:b/>
        </w:rPr>
        <w:t>Applies to:</w:t>
      </w:r>
      <w:r>
        <w:t xml:space="preserve"> [Payment systems, account data, connected and security-impacting systems, people, and providers]</w:t>
      </w:r>
    </w:p>
    <w:p>
      <w:pPr>
        <w:pStyle w:val="Heading1"/>
      </w:pPr>
      <w:r>
        <w:t>Required behavior</w:t>
      </w:r>
    </w:p>
    <w:p>
      <w:pPr>
        <w:pStyle w:val="ListBullet"/>
      </w:pPr>
      <w:r>
        <w:t>Suspected payment-security events shall be reported immediately through [channel] and handled under the current incident response plan and role-specific runbooks.</w:t>
      </w:r>
    </w:p>
    <w:p>
      <w:pPr>
        <w:pStyle w:val="ListBullet"/>
      </w:pPr>
      <w:r>
        <w:t>The response team shall preserve evidence, establish authority, bound affected data, systems, identities, providers, locations, and periods, and coordinate containment, eradication, recovery, notification, investigation, and lessons learned as applicable.</w:t>
      </w:r>
    </w:p>
    <w:p>
      <w:pPr>
        <w:pStyle w:val="ListBullet"/>
      </w:pPr>
      <w:r>
        <w:t>Contact paths for internal teams, incident responders, legal counsel, communications, service providers, payment brands, acquirers, law enforcement, and other parties shall be maintained according to actual responsibility and applicable direction.</w:t>
      </w:r>
    </w:p>
    <w:p>
      <w:pPr>
        <w:pStyle w:val="ListBullet"/>
      </w:pPr>
      <w:r>
        <w:t>Exercises, plan reviews, responder training, incident records, decisions, tests, and corrective actions shall be performed and preserved for the applicable cadence and change triggers.</w:t>
      </w:r>
    </w:p>
    <w:p>
      <w:pPr>
        <w:pStyle w:val="ListBullet"/>
      </w:pPr>
      <w:r>
        <w:t>An incident or exercise result shall reopen affected scope, architecture, responsibility, control, evidence, and assessment claims.</w:t>
      </w:r>
    </w:p>
    <w:p>
      <w:pPr>
        <w:pStyle w:val="Heading1"/>
      </w:pPr>
      <w:r>
        <w:t>Failure and exception path</w:t>
      </w:r>
    </w:p>
    <w:p>
      <w:r>
        <w:t>Unavailable responders, failed communication, missing evidence, provider delay, unsafe containment, or plan deviation shall be escalated to [authority], documented, bounded, and included in correction and retest.</w:t>
      </w:r>
    </w:p>
    <w:p>
      <w:pPr>
        <w:pStyle w:val="Heading1"/>
      </w:pPr>
      <w:r>
        <w:t>Operating links</w:t>
      </w:r>
    </w:p>
    <w:p>
      <w:r>
        <w:t>[Incident plan] · [Role runbooks] · [Contact register] · [Evidence preservation] · [Exercise calendar] · [Post-incident correction]</w:t>
      </w:r>
    </w:p>
    <w:p>
      <w:pPr>
        <w:sectPr>
          <w:footerReference w:type="default" r:id="rId15"/>
          <w:pgSz w:w="12240" w:h="15840"/>
          <w:pgMar w:top="1037" w:right="1181" w:bottom="1008" w:left="1181" w:header="720" w:footer="720" w:gutter="0"/>
          <w:cols w:space="720"/>
          <w:docGrid w:linePitch="360"/>
        </w:sectPr>
      </w:pPr>
    </w:p>
    <w:p>
      <w:pPr>
        <w:pStyle w:val="Title"/>
      </w:pPr>
      <w:r>
        <w:t>Third Party Service Provider Governance Policy</w:t>
      </w:r>
    </w:p>
    <w:p>
      <w:r/>
      <w:r>
        <w:rPr>
          <w:b/>
        </w:rPr>
        <w:t>Owner:</w:t>
      </w:r>
      <w:r>
        <w:t xml:space="preserve"> [Role]</w:t>
      </w:r>
    </w:p>
    <w:p>
      <w:r/>
      <w:r>
        <w:rPr>
          <w:b/>
        </w:rPr>
        <w:t>Applies to:</w:t>
      </w:r>
      <w:r>
        <w:t xml:space="preserve"> [Providers that store, process, transmit, administer, secure, support, or can affect the payment environment]</w:t>
      </w:r>
    </w:p>
    <w:p>
      <w:pPr>
        <w:pStyle w:val="Heading1"/>
      </w:pPr>
      <w:r>
        <w:t>Required behavior</w:t>
      </w:r>
    </w:p>
    <w:p>
      <w:pPr>
        <w:pStyle w:val="ListBullet"/>
      </w:pPr>
      <w:r>
        <w:t>Each relied-upon provider shall be recorded with legal entity, exact service, feature and environment, payment or security-influence relationship, owner, contract, responsibility, current assurance, evidence, limitation, and contingency path.</w:t>
      </w:r>
    </w:p>
    <w:p>
      <w:pPr>
        <w:pStyle w:val="ListBullet"/>
      </w:pPr>
      <w:r>
        <w:t>Written agreements shall identify applicable acknowledgment and responsibility terms, and current responsibility information shall be reconciled to the service actually consumed.</w:t>
      </w:r>
    </w:p>
    <w:p>
      <w:pPr>
        <w:pStyle w:val="ListBullet"/>
      </w:pPr>
      <w:r>
        <w:t>Provider compliance status and assurance shall be reviewed at [frequency] and upon material service, feature, architecture, responsibility, incident, assessment, or contract change.</w:t>
      </w:r>
    </w:p>
    <w:p>
      <w:pPr>
        <w:pStyle w:val="ListBullet"/>
      </w:pPr>
      <w:r>
        <w:t>Customer configuration, operation, monitoring, evidence, and residual testing shall remain explicit. Provider compliance shall not be represented as inherited customer compliance.</w:t>
      </w:r>
    </w:p>
    <w:p>
      <w:pPr>
        <w:pStyle w:val="ListBullet"/>
      </w:pPr>
      <w:r>
        <w:t>Gaps, exclusions, ambiguous responsibility, stale assurance, mismatched services, nested providers, and unverified claims shall be escalated and resolved through [process].</w:t>
      </w:r>
    </w:p>
    <w:p>
      <w:pPr>
        <w:pStyle w:val="Heading1"/>
      </w:pPr>
      <w:r>
        <w:t>Failure and exception path</w:t>
      </w:r>
    </w:p>
    <w:p>
      <w:r>
        <w:t>Assurance lapse, incorrect AOC or responsibility information, service mismatch, provider incident, unavailable evidence, or material change shall trigger [containment, clarification, alternate evidence, reassessment, contingency, and acceptance-direction path].</w:t>
      </w:r>
    </w:p>
    <w:p>
      <w:pPr>
        <w:pStyle w:val="Heading1"/>
      </w:pPr>
      <w:r>
        <w:t>Operating links</w:t>
      </w:r>
    </w:p>
    <w:p>
      <w:r>
        <w:t>[TPSP inventory] · [Contracts] · [AOCs] · [Responsibility matrices] · [Customer configuration] · [Monitoring] · [Exit and contingency plan]</w:t>
      </w:r>
    </w:p>
    <w:p>
      <w:pPr>
        <w:sectPr>
          <w:footerReference w:type="default" r:id="rId16"/>
          <w:pgSz w:w="12240" w:h="15840"/>
          <w:pgMar w:top="1037" w:right="1181" w:bottom="1008" w:left="1181" w:header="720" w:footer="720" w:gutter="0"/>
          <w:cols w:space="720"/>
          <w:docGrid w:linePitch="360"/>
        </w:sectPr>
      </w:pPr>
    </w:p>
    <w:p>
      <w:pPr>
        <w:pStyle w:val="Title"/>
      </w:pPr>
      <w:r>
        <w:t>Readable Policy Coverage Map</w:t>
      </w:r>
    </w:p>
    <w:p>
      <w:r>
        <w:t>Complete one row for each retained policy statement. Expand this table in the system of record rather than forcing long operating detail into the reader-facing policy.</w:t>
      </w:r>
    </w:p>
    <w:tbl>
      <w:tblPr>
        <w:tblStyle w:val="TableGrid"/>
        <w:tblW w:type="auto" w:w="0"/>
        <w:tblLook w:firstColumn="1" w:firstRow="1" w:lastColumn="0" w:lastRow="0" w:noHBand="0" w:noVBand="1" w:val="04A0"/>
      </w:tblPr>
      <w:tblGrid>
        <w:gridCol w:w="4939"/>
        <w:gridCol w:w="4939"/>
      </w:tblGrid>
      <w:tr>
        <w:tc>
          <w:tcPr>
            <w:tcW w:type="dxa" w:w="4939"/>
            <w:shd w:fill="071015"/>
            <w:tcMar>
              <w:top w:w="115" w:type="dxa"/>
              <w:start w:w="125" w:type="dxa"/>
              <w:bottom w:w="115" w:type="dxa"/>
              <w:end w:w="125" w:type="dxa"/>
            </w:tcMar>
          </w:tcPr>
          <w:p>
            <w:r>
              <w:rPr>
                <w:rFonts w:ascii="Arial" w:hAnsi="Arial"/>
                <w:b/>
                <w:color w:val="FFFFFF"/>
                <w:sz w:val="17"/>
              </w:rPr>
              <w:t>Field</w:t>
            </w:r>
          </w:p>
        </w:tc>
        <w:tc>
          <w:tcPr>
            <w:tcW w:type="dxa" w:w="4939"/>
            <w:shd w:fill="071015"/>
            <w:tcMar>
              <w:top w:w="115" w:type="dxa"/>
              <w:start w:w="125" w:type="dxa"/>
              <w:bottom w:w="115" w:type="dxa"/>
              <w:end w:w="125" w:type="dxa"/>
            </w:tcMar>
          </w:tcPr>
          <w:p>
            <w:r>
              <w:rPr>
                <w:rFonts w:ascii="Arial" w:hAnsi="Arial"/>
                <w:b/>
                <w:color w:val="FFFFFF"/>
                <w:sz w:val="17"/>
              </w:rPr>
              <w:t>Record</w:t>
            </w:r>
          </w:p>
        </w:tc>
      </w:tr>
      <w:tr>
        <w:tc>
          <w:tcPr>
            <w:tcW w:type="dxa" w:w="4939"/>
            <w:tcMar>
              <w:top w:w="115" w:type="dxa"/>
              <w:start w:w="125" w:type="dxa"/>
              <w:bottom w:w="115" w:type="dxa"/>
              <w:end w:w="125" w:type="dxa"/>
            </w:tcMar>
          </w:tcPr>
          <w:p>
            <w:r>
              <w:rPr>
                <w:rFonts w:ascii="Arial" w:hAnsi="Arial"/>
                <w:b/>
                <w:color w:val="000000"/>
                <w:sz w:val="16"/>
              </w:rPr>
              <w:t>Policy statement ID and version</w:t>
            </w:r>
          </w:p>
        </w:tc>
        <w:tc>
          <w:tcPr>
            <w:tcW w:type="dxa" w:w="4939"/>
            <w:tcMar>
              <w:top w:w="115" w:type="dxa"/>
              <w:start w:w="125" w:type="dxa"/>
              <w:bottom w:w="115" w:type="dxa"/>
              <w:end w:w="125" w:type="dxa"/>
            </w:tcMar>
          </w:tcPr>
          <w:p>
            <w:r>
              <w:rPr>
                <w:rFonts w:ascii="Arial" w:hAnsi="Arial"/>
                <w:b w:val="0"/>
                <w:color w:val="000000"/>
                <w:sz w:val="16"/>
              </w:rPr>
              <w:t>[POL-### v#]</w:t>
            </w:r>
          </w:p>
        </w:tc>
      </w:tr>
      <w:tr>
        <w:tc>
          <w:tcPr>
            <w:tcW w:type="dxa" w:w="4939"/>
            <w:shd w:fill="F2F5F6"/>
            <w:tcMar>
              <w:top w:w="115" w:type="dxa"/>
              <w:start w:w="125" w:type="dxa"/>
              <w:bottom w:w="115" w:type="dxa"/>
              <w:end w:w="125" w:type="dxa"/>
            </w:tcMar>
          </w:tcPr>
          <w:p>
            <w:r>
              <w:rPr>
                <w:rFonts w:ascii="Arial" w:hAnsi="Arial"/>
                <w:b/>
                <w:color w:val="000000"/>
                <w:sz w:val="16"/>
              </w:rPr>
              <w:t>Reader-facing statement</w:t>
            </w:r>
          </w:p>
        </w:tc>
        <w:tc>
          <w:tcPr>
            <w:tcW w:type="dxa" w:w="4939"/>
            <w:shd w:fill="F2F5F6"/>
            <w:tcMar>
              <w:top w:w="115" w:type="dxa"/>
              <w:start w:w="125" w:type="dxa"/>
              <w:bottom w:w="115" w:type="dxa"/>
              <w:end w:w="125" w:type="dxa"/>
            </w:tcMar>
          </w:tcPr>
          <w:p>
            <w:r>
              <w:rPr>
                <w:rFonts w:ascii="Arial" w:hAnsi="Arial"/>
                <w:b w:val="0"/>
                <w:color w:val="000000"/>
                <w:sz w:val="16"/>
              </w:rPr>
              <w:t>[Short mandatory instruction]</w:t>
            </w:r>
          </w:p>
        </w:tc>
      </w:tr>
      <w:tr>
        <w:tc>
          <w:tcPr>
            <w:tcW w:type="dxa" w:w="4939"/>
            <w:tcMar>
              <w:top w:w="115" w:type="dxa"/>
              <w:start w:w="125" w:type="dxa"/>
              <w:bottom w:w="115" w:type="dxa"/>
              <w:end w:w="125" w:type="dxa"/>
            </w:tcMar>
          </w:tcPr>
          <w:p>
            <w:r>
              <w:rPr>
                <w:rFonts w:ascii="Arial" w:hAnsi="Arial"/>
                <w:b/>
                <w:color w:val="000000"/>
                <w:sz w:val="16"/>
              </w:rPr>
              <w:t>PCI DSS source references</w:t>
            </w:r>
          </w:p>
        </w:tc>
        <w:tc>
          <w:tcPr>
            <w:tcW w:type="dxa" w:w="4939"/>
            <w:tcMar>
              <w:top w:w="115" w:type="dxa"/>
              <w:start w:w="125" w:type="dxa"/>
              <w:bottom w:w="115" w:type="dxa"/>
              <w:end w:w="125" w:type="dxa"/>
            </w:tcMar>
          </w:tcPr>
          <w:p>
            <w:r>
              <w:rPr>
                <w:rFonts w:ascii="Arial" w:hAnsi="Arial"/>
                <w:b w:val="0"/>
                <w:color w:val="000000"/>
                <w:sz w:val="16"/>
              </w:rPr>
              <w:t>[Requirement or guidance references; verify current version]</w:t>
            </w:r>
          </w:p>
        </w:tc>
      </w:tr>
      <w:tr>
        <w:tc>
          <w:tcPr>
            <w:tcW w:type="dxa" w:w="4939"/>
            <w:shd w:fill="F2F5F6"/>
            <w:tcMar>
              <w:top w:w="115" w:type="dxa"/>
              <w:start w:w="125" w:type="dxa"/>
              <w:bottom w:w="115" w:type="dxa"/>
              <w:end w:w="125" w:type="dxa"/>
            </w:tcMar>
          </w:tcPr>
          <w:p>
            <w:r>
              <w:rPr>
                <w:rFonts w:ascii="Arial" w:hAnsi="Arial"/>
                <w:b/>
                <w:color w:val="000000"/>
                <w:sz w:val="16"/>
              </w:rPr>
              <w:t>Boundary and affected audience</w:t>
            </w:r>
          </w:p>
        </w:tc>
        <w:tc>
          <w:tcPr>
            <w:tcW w:type="dxa" w:w="4939"/>
            <w:shd w:fill="F2F5F6"/>
            <w:tcMar>
              <w:top w:w="115" w:type="dxa"/>
              <w:start w:w="125" w:type="dxa"/>
              <w:bottom w:w="115" w:type="dxa"/>
              <w:end w:w="125" w:type="dxa"/>
            </w:tcMar>
          </w:tcPr>
          <w:p>
            <w:r>
              <w:rPr>
                <w:rFonts w:ascii="Arial" w:hAnsi="Arial"/>
                <w:b w:val="0"/>
                <w:color w:val="000000"/>
                <w:sz w:val="16"/>
              </w:rPr>
              <w:t>[People, systems, services, environments, periods]</w:t>
            </w:r>
          </w:p>
        </w:tc>
      </w:tr>
      <w:tr>
        <w:tc>
          <w:tcPr>
            <w:tcW w:type="dxa" w:w="4939"/>
            <w:tcMar>
              <w:top w:w="115" w:type="dxa"/>
              <w:start w:w="125" w:type="dxa"/>
              <w:bottom w:w="115" w:type="dxa"/>
              <w:end w:w="125" w:type="dxa"/>
            </w:tcMar>
          </w:tcPr>
          <w:p>
            <w:r>
              <w:rPr>
                <w:rFonts w:ascii="Arial" w:hAnsi="Arial"/>
                <w:b/>
                <w:color w:val="000000"/>
                <w:sz w:val="16"/>
              </w:rPr>
              <w:t>Accountable owner and decision authority</w:t>
            </w:r>
          </w:p>
        </w:tc>
        <w:tc>
          <w:tcPr>
            <w:tcW w:type="dxa" w:w="4939"/>
            <w:tcMar>
              <w:top w:w="115" w:type="dxa"/>
              <w:start w:w="125" w:type="dxa"/>
              <w:bottom w:w="115" w:type="dxa"/>
              <w:end w:w="125" w:type="dxa"/>
            </w:tcMar>
          </w:tcPr>
          <w:p>
            <w:r>
              <w:rPr>
                <w:rFonts w:ascii="Arial" w:hAnsi="Arial"/>
                <w:b w:val="0"/>
                <w:color w:val="000000"/>
                <w:sz w:val="16"/>
              </w:rPr>
              <w:t>[Roles]</w:t>
            </w:r>
          </w:p>
        </w:tc>
      </w:tr>
      <w:tr>
        <w:tc>
          <w:tcPr>
            <w:tcW w:type="dxa" w:w="4939"/>
            <w:shd w:fill="F2F5F6"/>
            <w:tcMar>
              <w:top w:w="115" w:type="dxa"/>
              <w:start w:w="125" w:type="dxa"/>
              <w:bottom w:w="115" w:type="dxa"/>
              <w:end w:w="125" w:type="dxa"/>
            </w:tcMar>
          </w:tcPr>
          <w:p>
            <w:r>
              <w:rPr>
                <w:rFonts w:ascii="Arial" w:hAnsi="Arial"/>
                <w:b/>
                <w:color w:val="000000"/>
                <w:sz w:val="16"/>
              </w:rPr>
              <w:t>Standard or control statement</w:t>
            </w:r>
          </w:p>
        </w:tc>
        <w:tc>
          <w:tcPr>
            <w:tcW w:type="dxa" w:w="4939"/>
            <w:shd w:fill="F2F5F6"/>
            <w:tcMar>
              <w:top w:w="115" w:type="dxa"/>
              <w:start w:w="125" w:type="dxa"/>
              <w:bottom w:w="115" w:type="dxa"/>
              <w:end w:w="125" w:type="dxa"/>
            </w:tcMar>
          </w:tcPr>
          <w:p>
            <w:r>
              <w:rPr>
                <w:rFonts w:ascii="Arial" w:hAnsi="Arial"/>
                <w:b w:val="0"/>
                <w:color w:val="000000"/>
                <w:sz w:val="16"/>
              </w:rPr>
              <w:t>[Stable link and version]</w:t>
            </w:r>
          </w:p>
        </w:tc>
      </w:tr>
      <w:tr>
        <w:tc>
          <w:tcPr>
            <w:tcW w:type="dxa" w:w="4939"/>
            <w:tcMar>
              <w:top w:w="115" w:type="dxa"/>
              <w:start w:w="125" w:type="dxa"/>
              <w:bottom w:w="115" w:type="dxa"/>
              <w:end w:w="125" w:type="dxa"/>
            </w:tcMar>
          </w:tcPr>
          <w:p>
            <w:r>
              <w:rPr>
                <w:rFonts w:ascii="Arial" w:hAnsi="Arial"/>
                <w:b/>
                <w:color w:val="000000"/>
                <w:sz w:val="16"/>
              </w:rPr>
              <w:t>Procedure or runbook</w:t>
            </w:r>
          </w:p>
        </w:tc>
        <w:tc>
          <w:tcPr>
            <w:tcW w:type="dxa" w:w="4939"/>
            <w:tcMar>
              <w:top w:w="115" w:type="dxa"/>
              <w:start w:w="125" w:type="dxa"/>
              <w:bottom w:w="115" w:type="dxa"/>
              <w:end w:w="125" w:type="dxa"/>
            </w:tcMar>
          </w:tcPr>
          <w:p>
            <w:r>
              <w:rPr>
                <w:rFonts w:ascii="Arial" w:hAnsi="Arial"/>
                <w:b w:val="0"/>
                <w:color w:val="000000"/>
                <w:sz w:val="16"/>
              </w:rPr>
              <w:t>[Stable link and version]</w:t>
            </w:r>
          </w:p>
        </w:tc>
      </w:tr>
      <w:tr>
        <w:tc>
          <w:tcPr>
            <w:tcW w:type="dxa" w:w="4939"/>
            <w:shd w:fill="F2F5F6"/>
            <w:tcMar>
              <w:top w:w="115" w:type="dxa"/>
              <w:start w:w="125" w:type="dxa"/>
              <w:bottom w:w="115" w:type="dxa"/>
              <w:end w:w="125" w:type="dxa"/>
            </w:tcMar>
          </w:tcPr>
          <w:p>
            <w:r>
              <w:rPr>
                <w:rFonts w:ascii="Arial" w:hAnsi="Arial"/>
                <w:b/>
                <w:color w:val="000000"/>
                <w:sz w:val="16"/>
              </w:rPr>
              <w:t>Technical mechanism or provider activity</w:t>
            </w:r>
          </w:p>
        </w:tc>
        <w:tc>
          <w:tcPr>
            <w:tcW w:type="dxa" w:w="4939"/>
            <w:shd w:fill="F2F5F6"/>
            <w:tcMar>
              <w:top w:w="115" w:type="dxa"/>
              <w:start w:w="125" w:type="dxa"/>
              <w:bottom w:w="115" w:type="dxa"/>
              <w:end w:w="125" w:type="dxa"/>
            </w:tcMar>
          </w:tcPr>
          <w:p>
            <w:r>
              <w:rPr>
                <w:rFonts w:ascii="Arial" w:hAnsi="Arial"/>
                <w:b w:val="0"/>
                <w:color w:val="000000"/>
                <w:sz w:val="16"/>
              </w:rPr>
              <w:t>[Identifiers and responsibility]</w:t>
            </w:r>
          </w:p>
        </w:tc>
      </w:tr>
      <w:tr>
        <w:tc>
          <w:tcPr>
            <w:tcW w:type="dxa" w:w="4939"/>
            <w:tcMar>
              <w:top w:w="115" w:type="dxa"/>
              <w:start w:w="125" w:type="dxa"/>
              <w:bottom w:w="115" w:type="dxa"/>
              <w:end w:w="125" w:type="dxa"/>
            </w:tcMar>
          </w:tcPr>
          <w:p>
            <w:r>
              <w:rPr>
                <w:rFonts w:ascii="Arial" w:hAnsi="Arial"/>
                <w:b/>
                <w:color w:val="000000"/>
                <w:sz w:val="16"/>
              </w:rPr>
              <w:t>Trigger or minimum frequency</w:t>
            </w:r>
          </w:p>
        </w:tc>
        <w:tc>
          <w:tcPr>
            <w:tcW w:type="dxa" w:w="4939"/>
            <w:tcMar>
              <w:top w:w="115" w:type="dxa"/>
              <w:start w:w="125" w:type="dxa"/>
              <w:bottom w:w="115" w:type="dxa"/>
              <w:end w:w="125" w:type="dxa"/>
            </w:tcMar>
          </w:tcPr>
          <w:p>
            <w:r>
              <w:rPr>
                <w:rFonts w:ascii="Arial" w:hAnsi="Arial"/>
                <w:b w:val="0"/>
                <w:color w:val="000000"/>
                <w:sz w:val="16"/>
              </w:rPr>
              <w:t>[Event, interval, or both]</w:t>
            </w:r>
          </w:p>
        </w:tc>
      </w:tr>
      <w:tr>
        <w:tc>
          <w:tcPr>
            <w:tcW w:type="dxa" w:w="4939"/>
            <w:shd w:fill="F2F5F6"/>
            <w:tcMar>
              <w:top w:w="115" w:type="dxa"/>
              <w:start w:w="125" w:type="dxa"/>
              <w:bottom w:w="115" w:type="dxa"/>
              <w:end w:w="125" w:type="dxa"/>
            </w:tcMar>
          </w:tcPr>
          <w:p>
            <w:r>
              <w:rPr>
                <w:rFonts w:ascii="Arial" w:hAnsi="Arial"/>
                <w:b/>
                <w:color w:val="000000"/>
                <w:sz w:val="16"/>
              </w:rPr>
              <w:t>Required occurrence record and evidence</w:t>
            </w:r>
          </w:p>
        </w:tc>
        <w:tc>
          <w:tcPr>
            <w:tcW w:type="dxa" w:w="4939"/>
            <w:shd w:fill="F2F5F6"/>
            <w:tcMar>
              <w:top w:w="115" w:type="dxa"/>
              <w:start w:w="125" w:type="dxa"/>
              <w:bottom w:w="115" w:type="dxa"/>
              <w:end w:w="125" w:type="dxa"/>
            </w:tcMar>
          </w:tcPr>
          <w:p>
            <w:r>
              <w:rPr>
                <w:rFonts w:ascii="Arial" w:hAnsi="Arial"/>
                <w:b w:val="0"/>
                <w:color w:val="000000"/>
                <w:sz w:val="16"/>
              </w:rPr>
              <w:t>[Expected outputs and location]</w:t>
            </w:r>
          </w:p>
        </w:tc>
      </w:tr>
      <w:tr>
        <w:tc>
          <w:tcPr>
            <w:tcW w:type="dxa" w:w="4939"/>
            <w:tcMar>
              <w:top w:w="115" w:type="dxa"/>
              <w:start w:w="125" w:type="dxa"/>
              <w:bottom w:w="115" w:type="dxa"/>
              <w:end w:w="125" w:type="dxa"/>
            </w:tcMar>
          </w:tcPr>
          <w:p>
            <w:r>
              <w:rPr>
                <w:rFonts w:ascii="Arial" w:hAnsi="Arial"/>
                <w:b/>
                <w:color w:val="000000"/>
                <w:sz w:val="16"/>
              </w:rPr>
              <w:t>Failure and escalation path</w:t>
            </w:r>
          </w:p>
        </w:tc>
        <w:tc>
          <w:tcPr>
            <w:tcW w:type="dxa" w:w="4939"/>
            <w:tcMar>
              <w:top w:w="115" w:type="dxa"/>
              <w:start w:w="125" w:type="dxa"/>
              <w:bottom w:w="115" w:type="dxa"/>
              <w:end w:w="125" w:type="dxa"/>
            </w:tcMar>
          </w:tcPr>
          <w:p>
            <w:r>
              <w:rPr>
                <w:rFonts w:ascii="Arial" w:hAnsi="Arial"/>
                <w:b w:val="0"/>
                <w:color w:val="000000"/>
                <w:sz w:val="16"/>
              </w:rPr>
              <w:t>[Role, time, immediate action, record]</w:t>
            </w:r>
          </w:p>
        </w:tc>
      </w:tr>
      <w:tr>
        <w:tc>
          <w:tcPr>
            <w:tcW w:type="dxa" w:w="4939"/>
            <w:shd w:fill="F2F5F6"/>
            <w:tcMar>
              <w:top w:w="115" w:type="dxa"/>
              <w:start w:w="125" w:type="dxa"/>
              <w:bottom w:w="115" w:type="dxa"/>
              <w:end w:w="125" w:type="dxa"/>
            </w:tcMar>
          </w:tcPr>
          <w:p>
            <w:r>
              <w:rPr>
                <w:rFonts w:ascii="Arial" w:hAnsi="Arial"/>
                <w:b/>
                <w:color w:val="000000"/>
                <w:sz w:val="16"/>
              </w:rPr>
              <w:t>Exception path</w:t>
            </w:r>
          </w:p>
        </w:tc>
        <w:tc>
          <w:tcPr>
            <w:tcW w:type="dxa" w:w="4939"/>
            <w:shd w:fill="F2F5F6"/>
            <w:tcMar>
              <w:top w:w="115" w:type="dxa"/>
              <w:start w:w="125" w:type="dxa"/>
              <w:bottom w:w="115" w:type="dxa"/>
              <w:end w:w="125" w:type="dxa"/>
            </w:tcMar>
          </w:tcPr>
          <w:p>
            <w:r>
              <w:rPr>
                <w:rFonts w:ascii="Arial" w:hAnsi="Arial"/>
                <w:b w:val="0"/>
                <w:color w:val="000000"/>
                <w:sz w:val="16"/>
              </w:rPr>
              <w:t>[Authority, expiration, monitoring, exit]</w:t>
            </w:r>
          </w:p>
        </w:tc>
      </w:tr>
      <w:tr>
        <w:tc>
          <w:tcPr>
            <w:tcW w:type="dxa" w:w="4939"/>
            <w:tcMar>
              <w:top w:w="115" w:type="dxa"/>
              <w:start w:w="125" w:type="dxa"/>
              <w:bottom w:w="115" w:type="dxa"/>
              <w:end w:w="125" w:type="dxa"/>
            </w:tcMar>
          </w:tcPr>
          <w:p>
            <w:r>
              <w:rPr>
                <w:rFonts w:ascii="Arial" w:hAnsi="Arial"/>
                <w:b/>
                <w:color w:val="000000"/>
                <w:sz w:val="16"/>
              </w:rPr>
              <w:t>Review and reopening triggers</w:t>
            </w:r>
          </w:p>
        </w:tc>
        <w:tc>
          <w:tcPr>
            <w:tcW w:type="dxa" w:w="4939"/>
            <w:tcMar>
              <w:top w:w="115" w:type="dxa"/>
              <w:start w:w="125" w:type="dxa"/>
              <w:bottom w:w="115" w:type="dxa"/>
              <w:end w:w="125" w:type="dxa"/>
            </w:tcMar>
          </w:tcPr>
          <w:p>
            <w:r>
              <w:rPr>
                <w:rFonts w:ascii="Arial" w:hAnsi="Arial"/>
                <w:b w:val="0"/>
                <w:color w:val="000000"/>
                <w:sz w:val="16"/>
              </w:rPr>
              <w:t>[Annual plus relevant changes]</w:t>
            </w:r>
          </w:p>
        </w:tc>
      </w:tr>
      <w:tr>
        <w:tc>
          <w:tcPr>
            <w:tcW w:type="dxa" w:w="4939"/>
            <w:shd w:fill="F2F5F6"/>
            <w:tcMar>
              <w:top w:w="115" w:type="dxa"/>
              <w:start w:w="125" w:type="dxa"/>
              <w:bottom w:w="115" w:type="dxa"/>
              <w:end w:w="125" w:type="dxa"/>
            </w:tcMar>
          </w:tcPr>
          <w:p>
            <w:r>
              <w:rPr>
                <w:rFonts w:ascii="Arial" w:hAnsi="Arial"/>
                <w:b/>
                <w:color w:val="000000"/>
                <w:sz w:val="16"/>
              </w:rPr>
              <w:t>Cold-reader test result</w:t>
            </w:r>
          </w:p>
        </w:tc>
        <w:tc>
          <w:tcPr>
            <w:tcW w:type="dxa" w:w="4939"/>
            <w:shd w:fill="F2F5F6"/>
            <w:tcMar>
              <w:top w:w="115" w:type="dxa"/>
              <w:start w:w="125" w:type="dxa"/>
              <w:bottom w:w="115" w:type="dxa"/>
              <w:end w:w="125" w:type="dxa"/>
            </w:tcMar>
          </w:tcPr>
          <w:p>
            <w:r>
              <w:rPr>
                <w:rFonts w:ascii="Arial" w:hAnsi="Arial"/>
                <w:b w:val="0"/>
                <w:color w:val="000000"/>
                <w:sz w:val="16"/>
              </w:rPr>
              <w:t>[Date, audience, first hesitation, repair]</w:t>
            </w:r>
          </w:p>
        </w:tc>
      </w:tr>
      <w:tr>
        <w:tc>
          <w:tcPr>
            <w:tcW w:type="dxa" w:w="4939"/>
            <w:tcMar>
              <w:top w:w="115" w:type="dxa"/>
              <w:start w:w="125" w:type="dxa"/>
              <w:bottom w:w="115" w:type="dxa"/>
              <w:end w:w="125" w:type="dxa"/>
            </w:tcMar>
          </w:tcPr>
          <w:p>
            <w:r>
              <w:rPr>
                <w:rFonts w:ascii="Arial" w:hAnsi="Arial"/>
                <w:b/>
                <w:color w:val="000000"/>
                <w:sz w:val="16"/>
              </w:rPr>
              <w:t>Explicit non-claims</w:t>
            </w:r>
          </w:p>
        </w:tc>
        <w:tc>
          <w:tcPr>
            <w:tcW w:type="dxa" w:w="4939"/>
            <w:tcMar>
              <w:top w:w="115" w:type="dxa"/>
              <w:start w:w="125" w:type="dxa"/>
              <w:bottom w:w="115" w:type="dxa"/>
              <w:end w:w="125" w:type="dxa"/>
            </w:tcMar>
          </w:tcPr>
          <w:p>
            <w:r>
              <w:rPr>
                <w:rFonts w:ascii="Arial" w:hAnsi="Arial"/>
                <w:b w:val="0"/>
                <w:color w:val="000000"/>
                <w:sz w:val="16"/>
              </w:rPr>
              <w:t>[What this statement and evidence do not establish]</w:t>
            </w:r>
          </w:p>
        </w:tc>
      </w:tr>
    </w:tbl>
    <w:p>
      <w:pPr>
        <w:pStyle w:val="Heading1"/>
        <w:pageBreakBefore/>
      </w:pPr>
      <w:r>
        <w:t>Coverage review</w:t>
      </w:r>
    </w:p>
    <w:p>
      <w:pPr>
        <w:pStyle w:val="ListBullet"/>
      </w:pPr>
      <w:r>
        <w:t>Every applicable policy or operational-procedure expectation has a current organizational instruction or a documented, supported applicability conclusion.</w:t>
      </w:r>
    </w:p>
    <w:p>
      <w:pPr>
        <w:pStyle w:val="ListBullet"/>
      </w:pPr>
      <w:r>
        <w:t>Every instruction reaches current operation and expected records rather than ending at another policy document.</w:t>
      </w:r>
    </w:p>
    <w:p>
      <w:pPr>
        <w:pStyle w:val="ListBullet"/>
      </w:pPr>
      <w:r>
        <w:t>Every affected audience can retrieve the current reader view and supporting operating path.</w:t>
      </w:r>
    </w:p>
    <w:p>
      <w:pPr>
        <w:pStyle w:val="ListBullet"/>
      </w:pPr>
      <w:r>
        <w:t>Every failed, late, missed, incomplete, exception, and contradiction state has an accountable path.</w:t>
      </w:r>
    </w:p>
    <w:p>
      <w:pPr>
        <w:pStyle w:val="ListBullet"/>
      </w:pPr>
      <w:r>
        <w:t>Every change to scope, responsibility, technology, provider service, operating method, authoritative source, or evidence source identifies which statements reopen.</w:t>
      </w:r>
    </w:p>
    <w:sectPr w:rsidR="00FC693F" w:rsidRPr="0006063C" w:rsidSect="00034616">
      <w:footerReference w:type="default" r:id="rId17"/>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646C"/>
        <w:sz w:val="14"/>
      </w:rPr>
      <w:t>THE CLUSTER OF WACK  /  READABLE PCI POLICY TEMPLATE PACK  /  PRACTITIONER SCAFFOLD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ackKicker">
    <w:name w:val="Wack Kicker"/>
    <w:pPr>
      <w:keepNext/>
      <w:spacing w:after="160"/>
    </w:pPr>
    <w:rPr>
      <w:rFonts w:ascii="Arial" w:hAnsi="Arial"/>
      <w:b/>
      <w:color w:val="52646C"/>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footer" Target="footer8.xml"/><Relationship Id="rId1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