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PRACTITIONER DISPATCH  /  ARGUMENT 06</w:t>
      </w:r>
    </w:p>
    <w:p>
      <w:pPr>
        <w:pStyle w:val="Title"/>
      </w:pPr>
      <w:r>
        <w:rPr>
          <w:rFonts w:ascii="Impact" w:hAnsi="Impact" w:eastAsia="Impact" w:cs="Impact"/>
          <w:b/>
          <w:i w:val="0"/>
          <w:color w:val="071015"/>
          <w:sz w:val="60"/>
        </w:rPr>
        <w:t>Make the Promise Match the Proof</w:t>
      </w:r>
    </w:p>
    <w:p>
      <w:pPr>
        <w:spacing w:after="320"/>
      </w:pPr>
      <w:r>
        <w:rPr>
          <w:rFonts w:ascii="Arial" w:hAnsi="Arial" w:eastAsia="Arial"/>
          <w:b w:val="0"/>
          <w:i/>
          <w:color w:val="52646B"/>
          <w:sz w:val="28"/>
        </w:rPr>
        <w:t>Trust marketing becomes durable when the public assurance claim, the scoped service, the operating control, and the supporting evidence tell the same story.</w:t>
      </w:r>
    </w:p>
    <w:p>
      <w:pPr>
        <w:jc w:val="center"/>
      </w:pPr>
      <w:r>
        <w:drawing>
          <wp:inline xmlns:a="http://schemas.openxmlformats.org/drawingml/2006/main" xmlns:pic="http://schemas.openxmlformats.org/drawingml/2006/picture">
            <wp:extent cx="1143000" cy="14287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143000" cy="14287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Do not let the landing page make a compliance promise the evidence room cannot recognize.</w:t>
      </w:r>
    </w:p>
    <w:p>
      <w:r>
        <w:t>Security and compliance language now appears everywhere: trust centers, product pages, proposals, procurement responses, sales decks, customer portals, status pages, and social posts. That visibility can help customers understand risk and make informed decisions. It can also allow a carefully worded assessment artifact to expand into a broad marketing promise that no longer matches the assessed service, responsibility boundary, period, or operating evidence.</w:t>
      </w:r>
    </w:p>
    <w:p>
      <w:r>
        <w:t>This is not an argument for timid marketing. It is an argument for exact marketing. A strong assurance message names what was assessed, which service or boundary it covers, what the customer still owns, how current the statement is, and where supporting information can be obtained. Precision is not a conversion penalty. It is part of the product's trust architecture.</w:t>
      </w:r>
    </w:p>
    <w:p>
      <w:pPr>
        <w:pStyle w:val="Heading1"/>
      </w:pPr>
      <w:r>
        <w:t>Every assurance claim has a blast radius</w:t>
      </w:r>
    </w:p>
    <w:p>
      <w:r>
        <w:t>A sentence can travel farther than the document that originally supported it. ‘PCI compliant’ may be copied from a qualified statement into a proposal, shortened on a website, repeated by sales, and interpreted by a customer as applying to products, geographies, features, or responsibilities that were never part of the original claim. Each repetition increases the distance between promise and proof.</w:t>
      </w:r>
    </w:p>
    <w:p>
      <w:r>
        <w:t>Treat public assurance language as a governed object. It should have an owner, approved wording, source record, scope boundary, effective period, review trigger, and retirement path. If the underlying service, architecture, assessment status, or responsibility model changes, the claim should be reviewed as deliberately as any other externally relied-upon configuration.</w:t>
      </w:r>
    </w:p>
    <w:p>
      <w:pPr>
        <w:pStyle w:val="Heading1"/>
      </w:pPr>
      <w:r>
        <w:t>Build the claim from the boundary outward</w:t>
      </w:r>
    </w:p>
    <w:p>
      <w:r>
        <w:t>Begin with the exact service and audience. What is the customer buying? Which payment or security activity does the service perform? What was assessed? What remains the customer's responsibility? Which configuration choices affect the claim? Marketing should not have to interpret a dense assessment document alone. Compliance should translate the boundary into usable, approved language.</w:t>
      </w:r>
    </w:p>
    <w:p>
      <w:r>
        <w:t>That translation can still be compelling. ‘Here is what we operate, how it is independently assessed, what you configure, and where our responsibilities meet’ is a stronger trust story than a badge floating without context. It tells a sophisticated buyer that the organization understands both its control environment and its customer relationship.</w:t>
      </w:r>
    </w:p>
    <w:p>
      <w:pPr>
        <w:pStyle w:val="Heading1"/>
      </w:pPr>
      <w:r>
        <w:t>Let proof shape the content system</w:t>
      </w:r>
    </w:p>
    <w:p>
      <w:r>
        <w:t>A trust page should be a navigation layer over maintained assurance sources, not a museum of PDFs. It can connect high-level claims to current attestations, service descriptions, responsibility summaries, security practices, update dates, and contact paths. The page does not need to disclose sensitive detail. It needs to make the provenance and boundary of each public claim visible.</w:t>
      </w:r>
    </w:p>
    <w:p>
      <w:r>
        <w:t>The same discipline should govern campaigns. A LinkedIn post, case study, conference slide, and sales enablement card can share one approved claim record with channel-specific language. When the source changes, the content owner knows which derivatives require review. Marketing velocity improves because precision was designed into the system instead of negotiated from scratch for every post.</w:t>
      </w:r>
    </w:p>
    <w:p>
      <w:pPr>
        <w:pStyle w:val="Heading1"/>
      </w:pPr>
      <w:r>
        <w:t>Market the method, not invented certainty</w:t>
      </w:r>
    </w:p>
    <w:p>
      <w:r>
        <w:t>Customers are not only buying a status. They are buying confidence that the organization can maintain, explain, and improve the service behind that status. Marketing can describe the operating method: how responsibilities are clarified, how changes trigger review, how evidence remains current, how exceptions receive owners, and how questions reach accountable people.</w:t>
      </w:r>
    </w:p>
    <w:p>
      <w:r>
        <w:t>That story is differentiated because it is harder to imitate than a badge. It also creates a productive internal pressure: public statements about the method must remain recognizable to the teams doing the work. The best trust marketing does not decorate compliance. It gives the operating model a clear, supportable voice.</w:t>
      </w:r>
    </w:p>
    <w:p>
      <w:pPr>
        <w:pStyle w:val="Heading1"/>
      </w:pPr>
      <w:r>
        <w:t>Five questions for the next working session</w:t>
      </w:r>
    </w:p>
    <w:p>
      <w:pPr>
        <w:pStyle w:val="ListBullet"/>
      </w:pPr>
      <w:r>
        <w:t>Which public assurance phrase has traveled farthest from its source document?</w:t>
      </w:r>
    </w:p>
    <w:p>
      <w:pPr>
        <w:pStyle w:val="ListBullet"/>
      </w:pPr>
      <w:r>
        <w:t>What exact service, boundary, and period does the claim cover?</w:t>
      </w:r>
    </w:p>
    <w:p>
      <w:pPr>
        <w:pStyle w:val="ListBullet"/>
      </w:pPr>
      <w:r>
        <w:t>Which customer responsibilities must remain visible?</w:t>
      </w:r>
    </w:p>
    <w:p>
      <w:pPr>
        <w:pStyle w:val="ListBullet"/>
      </w:pPr>
      <w:r>
        <w:t>What event triggers review or retirement of the public statement?</w:t>
      </w:r>
    </w:p>
    <w:p>
      <w:pPr>
        <w:pStyle w:val="ListBullet"/>
      </w:pPr>
      <w:r>
        <w:t>Would the control owner recognize the marketing description of the operating method?</w:t>
      </w:r>
    </w:p>
    <w:p>
      <w:pPr>
        <w:pStyle w:val="Heading1"/>
      </w:pPr>
      <w:r>
        <w:t>One move to make now</w:t>
      </w:r>
    </w:p>
    <w:p>
      <w:r>
        <w:t>Create one claim card for the most visible assurance statement: approved wording, service scope, exclusions, customer responsibility, source, owner, effective period, review trigger, and every active channel using it.</w:t>
      </w:r>
    </w:p>
    <w:p>
      <w:pPr>
        <w:pStyle w:val="Heading1"/>
      </w:pPr>
      <w:r>
        <w:t>The practitioner position</w:t>
      </w:r>
    </w:p>
    <w:p>
      <w:r>
        <w:t>My practitioner position is that trust marketing should be ambitious about clarity and conservative about unsupported reach. The promise should travel only as far as the proof can follow.</w:t>
      </w:r>
    </w:p>
    <w:p>
      <w:r>
        <w:t>Make the public claim recognizable to the architecture, the control owner, the assessment record, and the customer. That is not merely accurate marketing. It is evidence-aware trust design.</w:t>
      </w:r>
    </w:p>
    <w:p>
      <w:pPr>
        <w:pStyle w:val="Heading1"/>
      </w:pPr>
      <w:r>
        <w:t>Authority and sources</w:t>
      </w:r>
    </w:p>
    <w:p>
      <w:r>
        <w:t>Independent practitioner perspective. These dispatches are Scott Norton's practitioner analysis and recommendations, not PCI SSC terminology or guidance, not a formal position of Johanson Group, LLP, and not an assessment conclusion about any entity. AI assistance is recorded as production provenance; accountable professional judgment remains human.</w:t>
      </w:r>
    </w:p>
    <w:p>
      <w:r>
        <w:t>Authority classification: PRACTITIONER_POSITION / PRACTITIONER_METHOD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s="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Impact" w:hAnsi="Impact" w:cs="Impact" w:eastAsia="Impact"/>
      <w:b/>
      <w:bCs/>
      <w:color w:val="071015"/>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cs="Arial" w:eastAsia="Arial"/>
      <w:b/>
      <w:bCs/>
      <w:color w:val="07101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asciiTheme="majorHAnsi" w:eastAsiaTheme="majorEastAsia" w:hAnsiTheme="majorHAnsi" w:cstheme="majorBidi" w:ascii="Impact" w:hAnsi="Impact" w:cs="Impact" w:eastAsia="Impact"/>
      <w:b/>
      <w:color w:val="07101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the Promise Match the Proof</dc:title>
  <dc:subject>Practitioner Dispatch - independent practitioner perspective</dc:subject>
  <dc:creator>Scott Norton</dc:creator>
  <cp:keywords>PCI DSS, practitioner method,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