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PRACTITIONER DISPATCH  /  ARGUMENT 02</w:t>
      </w:r>
    </w:p>
    <w:p>
      <w:pPr>
        <w:pStyle w:val="Title"/>
      </w:pPr>
      <w:r>
        <w:rPr>
          <w:rFonts w:ascii="Impact" w:hAnsi="Impact" w:eastAsia="Impact" w:cs="Impact"/>
          <w:b/>
          <w:i w:val="0"/>
          <w:color w:val="071015"/>
          <w:sz w:val="60"/>
        </w:rPr>
        <w:t>The Virgin Assessed Entity</w:t>
      </w:r>
    </w:p>
    <w:p>
      <w:pPr>
        <w:spacing w:after="320"/>
      </w:pPr>
      <w:r>
        <w:rPr>
          <w:rFonts w:ascii="Arial" w:hAnsi="Arial" w:eastAsia="Arial"/>
          <w:b w:val="0"/>
          <w:i/>
          <w:color w:val="52646B"/>
          <w:sz w:val="28"/>
        </w:rPr>
        <w:t>A first-time assessed entity does not need condescension. It needs a truthful map, a shared vocabulary, and permission to discover what the questionnaire never taught it to ask.</w:t>
      </w:r>
    </w:p>
    <w:p>
      <w:pPr>
        <w:jc w:val="center"/>
      </w:pPr>
      <w:r>
        <w:drawing>
          <wp:inline xmlns:a="http://schemas.openxmlformats.org/drawingml/2006/main" xmlns:pic="http://schemas.openxmlformats.org/drawingml/2006/picture">
            <wp:extent cx="1143000" cy="14287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143000" cy="14287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Everything is new except the deadline.</w:t>
      </w:r>
    </w:p>
    <w:p>
      <w:r>
        <w:t>The phrase is deliberately provocative. ‘Virgin assessed entity’ is not PCI SSC terminology, and it is not a label for people. It is shorthand for an organization entering a formal PCI DSS assessment for the first time without an inherited assessment rhythm, evidence archive, assessor vocabulary, or reliable sense of how its operating reality will be tested. Everything feels new. The deadline usually does not.</w:t>
      </w:r>
    </w:p>
    <w:p>
      <w:r>
        <w:t>First assessments are difficult for reasons that have little to do with laziness or indifference. The entity may have capable security practices while lacking the connective tissue that makes those practices assessable: complete populations, named control owners, preserved decisions, explicit provider responsibilities, diagrams that match the environment, and evidence that explains more than its filename. The first job is not to shame the gap. It is to make the environment legible.</w:t>
      </w:r>
    </w:p>
    <w:p>
      <w:pPr>
        <w:pStyle w:val="Heading1"/>
      </w:pPr>
      <w:r>
        <w:t>Start with orientation, not evidence requests</w:t>
      </w:r>
    </w:p>
    <w:p>
      <w:r>
        <w:t>A first-time entity can interpret an evidence request as a document request. That is understandable. The request names a control topic, so the team searches for a policy, screenshot, ticket, report, or vendor document with matching words. The result may be responsive in appearance while leaving the assessor unable to determine the population, operating process, responsible party, or period represented.</w:t>
      </w:r>
    </w:p>
    <w:p>
      <w:r>
        <w:t>Orientation changes the sequence. Begin with the payment channels, data flows, connected systems, administrative paths, service providers, and business processes. Identify which teams operate them and which sources record their state. Only then connect requirements and evidence to the environment. The entity learns why an artifact matters instead of memorizing what to upload.</w:t>
      </w:r>
    </w:p>
    <w:p>
      <w:pPr>
        <w:pStyle w:val="Heading1"/>
      </w:pPr>
      <w:r>
        <w:t>Translate assessment language into operating language</w:t>
      </w:r>
    </w:p>
    <w:p>
      <w:r>
        <w:t>Terms such as population, sampling, frequency, in place, customized approach, compensating control, shared responsibility, and evidence period can sound familiar while carrying specific assessment consequences. A first-time program needs a working vocabulary that connects each term to real activities. A population is not an abstract testing word; it is the complete set from which the program and assessor make claims.</w:t>
      </w:r>
    </w:p>
    <w:p>
      <w:r>
        <w:t>Translation should work both directions. The assessor needs to understand how the business names its systems and processes. The entity needs to understand why the assessor separates design, implementation, operation, and evidence. Neither side benefits when unfamiliar language is treated as proof that the other side is difficult. Shared vocabulary is an early control against avoidable Wack.</w:t>
      </w:r>
    </w:p>
    <w:p>
      <w:pPr>
        <w:pStyle w:val="Heading1"/>
      </w:pPr>
      <w:r>
        <w:t>Expect the first map to be wrong</w:t>
      </w:r>
    </w:p>
    <w:p>
      <w:r>
        <w:t>The first diagram, inventory, responsibility matrix, and evidence list are hypotheses. They reflect what the team currently knows and which people were in the room. Treating them as final encourages defensiveness when a new dependency appears. Treating them as working models makes discovery part of the process. The question becomes, ‘What did we learn?’ rather than, ‘Who failed to tell us?’</w:t>
      </w:r>
    </w:p>
    <w:p>
      <w:r>
        <w:t>A healthy first assessment records those discoveries. Which system was missing? Which provider duty remained with the customer? Which recurring activity had no retained evidence? Which scope assumption changed after an administrative path became visible? That discovery ledger is not an embarrassment. It is the seed of the next year’s business-as-usual program.</w:t>
      </w:r>
    </w:p>
    <w:p>
      <w:pPr>
        <w:pStyle w:val="Heading1"/>
      </w:pPr>
      <w:r>
        <w:t>Build the second assessment during the first</w:t>
      </w:r>
    </w:p>
    <w:p>
      <w:r>
        <w:t>The most expensive mistake is resolving every request as a one-time event. If the team manually rebuilds a population, reconstructs a decision, or searches five systems for evidence, it should capture the repeatable path while the work is fresh. Name the source, query, owner, cadence, interpretation, and exception route. The next cycle should inherit an operating recipe, not only last year’s output.</w:t>
      </w:r>
    </w:p>
    <w:p>
      <w:r>
        <w:t>The first assessment will contain surprises. Success is not pretending otherwise. Success is converting each surprise into a clearer map, stronger owner, better trigger, or repeatable evidence path. By the time the assessment closes, the entity should possess more than a report. It should possess a compliance operating system capable of learning.</w:t>
      </w:r>
    </w:p>
    <w:p>
      <w:pPr>
        <w:pStyle w:val="Heading1"/>
      </w:pPr>
      <w:r>
        <w:t>Five questions for the next working session</w:t>
      </w:r>
    </w:p>
    <w:p>
      <w:pPr>
        <w:pStyle w:val="ListBullet"/>
      </w:pPr>
      <w:r>
        <w:t>Which assessment term is being used without a shared operating definition?</w:t>
      </w:r>
    </w:p>
    <w:p>
      <w:pPr>
        <w:pStyle w:val="ListBullet"/>
      </w:pPr>
      <w:r>
        <w:t>What part of the environment has not yet been walked end to end?</w:t>
      </w:r>
    </w:p>
    <w:p>
      <w:pPr>
        <w:pStyle w:val="ListBullet"/>
      </w:pPr>
      <w:r>
        <w:t>Which first-pass artifact is still being treated as final truth?</w:t>
      </w:r>
    </w:p>
    <w:p>
      <w:pPr>
        <w:pStyle w:val="ListBullet"/>
      </w:pPr>
      <w:r>
        <w:t>What discovery from this assessment has no assigned follow-up owner?</w:t>
      </w:r>
    </w:p>
    <w:p>
      <w:pPr>
        <w:pStyle w:val="ListBullet"/>
      </w:pPr>
      <w:r>
        <w:t>Which one-time evidence hunt should become a repeatable recipe?</w:t>
      </w:r>
    </w:p>
    <w:p>
      <w:pPr>
        <w:pStyle w:val="Heading1"/>
      </w:pPr>
      <w:r>
        <w:t>One move to make now</w:t>
      </w:r>
    </w:p>
    <w:p>
      <w:r>
        <w:t>Create a first-assessment discovery ledger with five columns: what we believed, what we observed, why it differed, who owns the correction, and what becomes repeatable next cycle.</w:t>
      </w:r>
    </w:p>
    <w:p>
      <w:pPr>
        <w:pStyle w:val="Heading1"/>
      </w:pPr>
      <w:r>
        <w:t>The practitioner position</w:t>
      </w:r>
    </w:p>
    <w:p>
      <w:r>
        <w:t>My practitioner position is that first-time assessed entities deserve candor without theater and structure without condescension. The work is not to make the organization sound experienced. It is to help the organization become explainable.</w:t>
      </w:r>
    </w:p>
    <w:p>
      <w:r>
        <w:t>Everything may be new except the deadline. The advantage is that inherited assessment habits have not yet hardened. Build the second assessment correctly while completing the first.</w:t>
      </w:r>
    </w:p>
    <w:p>
      <w:pPr>
        <w:pStyle w:val="Heading1"/>
      </w:pPr>
      <w:r>
        <w:t>Authority and sources</w:t>
      </w:r>
    </w:p>
    <w:p>
      <w:r>
        <w:t>Independent practitioner perspective. These dispatches are Scott Norton's practitioner analysis and recommendations, not PCI SSC terminology or guidance, not a formal position of Johanson Group, LLP, and not an assessment conclusion about any entity. AI assistance is recorded as production provenance; accountable professional judgment remains human.</w:t>
      </w:r>
    </w:p>
    <w:p>
      <w:r>
        <w:t>Authority classification: PRACTITIONER_POSITION / PRACTITIONER_METHOD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s="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Impact" w:hAnsi="Impact" w:cs="Impact" w:eastAsia="Impact"/>
      <w:b/>
      <w:bCs/>
      <w:color w:val="07101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cs="Arial" w:eastAsia="Arial"/>
      <w:b/>
      <w:bCs/>
      <w:color w:val="07101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Impact" w:hAnsi="Impact" w:cs="Impact" w:eastAsia="Impact"/>
      <w:b/>
      <w:color w:val="07101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Virgin Assessed Entity</dc:title>
  <dc:subject>Practitioner Dispatch - independent practitioner perspective</dc:subject>
  <dc:creator>Scott Norton</dc:creator>
  <cp:keywords>PCI DSS, practitioner method,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