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80"/>
      </w:pPr>
    </w:p>
    <w:p>
      <w:pPr>
        <w:spacing w:after="100"/>
      </w:pPr>
      <w:r>
        <w:rPr>
          <w:rFonts w:ascii="Arial" w:hAnsi="Arial"/>
          <w:b/>
          <w:i w:val="0"/>
          <w:color w:val="FF882B"/>
          <w:sz w:val="16"/>
        </w:rPr>
        <w:t>FACILITATOR GUIDE</w:t>
      </w:r>
    </w:p>
    <w:p>
      <w:pPr>
        <w:pStyle w:val="Title"/>
        <w:spacing w:after="160"/>
      </w:pPr>
      <w:r>
        <w:rPr>
          <w:rFonts w:ascii="Impact" w:hAnsi="Impact"/>
          <w:b w:val="0"/>
          <w:i w:val="0"/>
          <w:color w:val="071015"/>
          <w:sz w:val="68"/>
        </w:rPr>
        <w:t>THE CLUSTER OF WACK</w:t>
      </w:r>
    </w:p>
    <w:p>
      <w:pPr>
        <w:spacing w:after="600"/>
      </w:pPr>
      <w:r>
        <w:rPr>
          <w:rFonts w:ascii="Arial" w:hAnsi="Arial"/>
          <w:b w:val="0"/>
          <w:i w:val="0"/>
          <w:color w:val="52646B"/>
          <w:sz w:val="30"/>
        </w:rPr>
        <w:t>A speaker-ready runbook for the PCI DSS practitioner community</w:t>
      </w:r>
    </w:p>
    <w:tbl>
      <w:tblPr>
        <w:tblW w:type="auto" w:w="0"/>
        <w:jc w:val="left"/>
        <w:tblLayout w:type="fixed"/>
        <w:tblLook w:firstColumn="1" w:firstRow="1" w:lastColumn="0" w:lastRow="0" w:noHBand="0" w:noVBand="1" w:val="04A0"/>
      </w:tblPr>
      <w:tblGrid>
        <w:gridCol w:w="9576"/>
      </w:tblGrid>
      <w:tr>
        <w:tc>
          <w:tcPr>
            <w:tcW w:type="dxa" w:w="9576"/>
            <w:vAlign w:val="center"/>
            <w:shd w:fill="FFF4EB"/>
            <w:tcMar>
              <w:top w:w="180" w:type="dxa"/>
              <w:start w:w="220" w:type="dxa"/>
              <w:bottom w:w="180" w:type="dxa"/>
              <w:end w:w="220" w:type="dxa"/>
            </w:tcMar>
          </w:tcPr>
          <w:p>
            <w:pPr>
              <w:spacing w:after="0"/>
            </w:pPr>
            <w:r>
              <w:rPr>
                <w:rFonts w:ascii="Arial" w:hAnsi="Arial"/>
                <w:b/>
                <w:i w:val="0"/>
                <w:color w:val="071015"/>
                <w:sz w:val="24"/>
              </w:rPr>
              <w:t>Participants will leave with memorable language for accumulated control complexity and a five-step method for turning an uncomfortable architecture conversation into a shared map, accountable decisions, and traceable evidence.</w:t>
            </w:r>
          </w:p>
        </w:tc>
      </w:tr>
    </w:tbl>
    <w:p>
      <w:pPr>
        <w:spacing w:after="20"/>
      </w:pPr>
    </w:p>
    <w:p>
      <w:r>
        <w:rPr>
          <w:rFonts w:ascii="Arial" w:hAnsi="Arial"/>
          <w:b/>
          <w:i w:val="0"/>
          <w:color w:val="52646B"/>
          <w:sz w:val="18"/>
        </w:rPr>
        <w:t xml:space="preserve">Primary format: </w:t>
      </w:r>
      <w:r>
        <w:rPr>
          <w:rFonts w:ascii="Arial" w:hAnsi="Arial"/>
          <w:b w:val="0"/>
          <w:i w:val="0"/>
          <w:color w:val="52646B"/>
          <w:sz w:val="18"/>
        </w:rPr>
        <w:t>45 minutes  /  24 slides  /  facilitated mapping exercise</w:t>
      </w:r>
    </w:p>
    <w:p>
      <w:r>
        <w:rPr>
          <w:rFonts w:ascii="Arial" w:hAnsi="Arial"/>
          <w:b w:val="0"/>
          <w:i/>
          <w:color w:val="52646B"/>
          <w:sz w:val="16"/>
        </w:rPr>
        <w:t>Cluster of Wack and related terms are independent practitioner shorthand, not PCI SSC terminology. The session is educational and does not provide an assessment conclusion or imply affiliation with or endorsement by PCI SSC.</w:t>
      </w:r>
    </w:p>
    <w:p>
      <w:r>
        <w:br w:type="page"/>
      </w:r>
    </w:p>
    <w:p>
      <w:pPr>
        <w:pStyle w:val="Heading1"/>
      </w:pPr>
      <w:r>
        <w:t>Session at a glance</w:t>
      </w:r>
    </w:p>
    <w:p>
      <w:pPr>
        <w:spacing w:after="100"/>
      </w:pPr>
      <w:r>
        <w:rPr>
          <w:rFonts w:ascii="Arial" w:hAnsi="Arial"/>
          <w:b/>
          <w:i w:val="0"/>
          <w:color w:val="FF882B"/>
          <w:sz w:val="16"/>
        </w:rPr>
        <w:t>AUDIENCE</w:t>
      </w:r>
    </w:p>
    <w:p>
      <w:r>
        <w:t>PCI DSS assessors, security leaders, program owners, architects, and control operators</w:t>
      </w:r>
    </w:p>
    <w:p>
      <w:pPr>
        <w:spacing w:after="100"/>
      </w:pPr>
      <w:r>
        <w:rPr>
          <w:rFonts w:ascii="Arial" w:hAnsi="Arial"/>
          <w:b/>
          <w:i w:val="0"/>
          <w:color w:val="FF882B"/>
          <w:sz w:val="16"/>
        </w:rPr>
        <w:t>LEARNING OBJECTIVES</w:t>
      </w:r>
    </w:p>
    <w:p>
      <w:pPr>
        <w:pStyle w:val="ListBullet"/>
      </w:pPr>
      <w:r>
        <w:t>Recognize when several individually defensible decisions have combined into one hard-to-explain control environment.</w:t>
      </w:r>
    </w:p>
    <w:p>
      <w:pPr>
        <w:pStyle w:val="ListBullet"/>
      </w:pPr>
      <w:r>
        <w:t>Separate observed facts, inherited assumptions, scope conclusions, ownership decisions, and evidence claims.</w:t>
      </w:r>
    </w:p>
    <w:p>
      <w:pPr>
        <w:pStyle w:val="ListBullet"/>
      </w:pPr>
      <w:r>
        <w:t>Apply Find, Map, Explain, Reduce, and Prove to one real relationship without pretending the exercise itself determines compliance.</w:t>
      </w:r>
    </w:p>
    <w:p>
      <w:pPr>
        <w:pStyle w:val="ListBullet"/>
      </w:pPr>
      <w:r>
        <w:t>Use humor to open a difficult practitioner conversation without trivializing the standard or the work.</w:t>
      </w:r>
    </w:p>
    <w:p>
      <w:pPr>
        <w:spacing w:after="100"/>
      </w:pPr>
      <w:r>
        <w:rPr>
          <w:rFonts w:ascii="Arial" w:hAnsi="Arial"/>
          <w:b/>
          <w:i w:val="0"/>
          <w:color w:val="FF882B"/>
          <w:sz w:val="16"/>
        </w:rPr>
        <w:t>BOUNDARY</w:t>
      </w:r>
    </w:p>
    <w:tbl>
      <w:tblPr>
        <w:tblW w:type="auto" w:w="0"/>
        <w:jc w:val="left"/>
        <w:tblLayout w:type="fixed"/>
        <w:tblLook w:firstColumn="1" w:firstRow="1" w:lastColumn="0" w:lastRow="0" w:noHBand="0" w:noVBand="1" w:val="04A0"/>
      </w:tblPr>
      <w:tblGrid>
        <w:gridCol w:w="9576"/>
      </w:tblGrid>
      <w:tr>
        <w:tc>
          <w:tcPr>
            <w:tcW w:type="dxa" w:w="9576"/>
            <w:vAlign w:val="center"/>
            <w:shd w:fill="E9F8F6"/>
            <w:tcMar>
              <w:top w:w="180" w:type="dxa"/>
              <w:start w:w="220" w:type="dxa"/>
              <w:bottom w:w="180" w:type="dxa"/>
              <w:end w:w="220" w:type="dxa"/>
            </w:tcMar>
          </w:tcPr>
          <w:p>
            <w:pPr>
              <w:spacing w:after="0"/>
            </w:pPr>
            <w:r>
              <w:rPr>
                <w:rFonts w:ascii="Arial" w:hAnsi="Arial"/>
                <w:b/>
                <w:i w:val="0"/>
                <w:color w:val="071015"/>
                <w:sz w:val="24"/>
              </w:rPr>
              <w:t>Cluster of Wack and related terms are independent practitioner shorthand, not PCI SSC terminology. The session is educational and does not provide an assessment conclusion or imply affiliation with or endorsement by PCI SSC.</w:t>
            </w:r>
          </w:p>
        </w:tc>
      </w:tr>
    </w:tbl>
    <w:p>
      <w:pPr>
        <w:spacing w:after="20"/>
      </w:pPr>
    </w:p>
    <w:p>
      <w:pPr>
        <w:pStyle w:val="Heading1"/>
      </w:pPr>
      <w:r>
        <w:t>Three timing versions</w:t>
      </w:r>
    </w:p>
    <w:p>
      <w:pPr>
        <w:pStyle w:val="Heading2"/>
      </w:pPr>
      <w:r>
        <w:t>30-minute session</w:t>
      </w:r>
    </w:p>
    <w:p>
      <w:r>
        <w:t>Use 22 slides; reserve 4 minutes for the exercise and 3 minutes for questions.</w:t>
      </w:r>
    </w:p>
    <w:p>
      <w:pPr>
        <w:pStyle w:val="Heading2"/>
      </w:pPr>
      <w:r>
        <w:t>45-minute session</w:t>
      </w:r>
    </w:p>
    <w:p>
      <w:r>
        <w:t>Use 24 slides; reserve 8 minutes for the exercise and 5 minutes for questions.</w:t>
      </w:r>
    </w:p>
    <w:p>
      <w:pPr>
        <w:pStyle w:val="Heading2"/>
      </w:pPr>
      <w:r>
        <w:t>60-minute session</w:t>
      </w:r>
    </w:p>
    <w:p>
      <w:r>
        <w:t>Use 24 slides; reserve 16 minutes for the exercise and 10 minutes for questions. Invite two participant map readouts and use the Diagram Drift and Evidence Lineage Case Files as additional discussion prompts.</w:t>
      </w:r>
    </w:p>
    <w:p>
      <w:pPr>
        <w:pStyle w:val="Heading1"/>
        <w:pageBreakBefore/>
      </w:pPr>
      <w:r>
        <w:t>Room and facilitator preparation</w:t>
      </w:r>
    </w:p>
    <w:p>
      <w:pPr>
        <w:pStyle w:val="ListBullet"/>
      </w:pPr>
      <w:r>
        <w:t>Confirm the meeting's recording, photography, attribution, and distribution expectations.</w:t>
      </w:r>
    </w:p>
    <w:p>
      <w:pPr>
        <w:pStyle w:val="ListBullet"/>
      </w:pPr>
      <w:r>
        <w:t>Replace the speaker placeholder in the submission packet and title-slide notes.</w:t>
      </w:r>
    </w:p>
    <w:p>
      <w:pPr>
        <w:pStyle w:val="ListBullet"/>
      </w:pPr>
      <w:r>
        <w:t>Complete practitioner review of PCI DSS wording and TPSP nuance before external use.</w:t>
      </w:r>
    </w:p>
    <w:p>
      <w:pPr>
        <w:pStyle w:val="ListBullet"/>
      </w:pPr>
      <w:r>
        <w:t>Prepare one participant workbook per person or provide the stable digital download.</w:t>
      </w:r>
    </w:p>
    <w:p>
      <w:pPr>
        <w:pStyle w:val="ListBullet"/>
      </w:pPr>
      <w:r>
        <w:t>Use a timer for the mapping exercise; protect the final five minutes for synthesis and questions.</w:t>
      </w:r>
    </w:p>
    <w:p>
      <w:pPr>
        <w:pStyle w:val="ListBullet"/>
      </w:pPr>
      <w:r>
        <w:t>Invite fictional or sanitized examples only. Do not collect client facts or assessment evidence.</w:t>
      </w:r>
    </w:p>
    <w:p>
      <w:pPr>
        <w:pStyle w:val="Heading1"/>
      </w:pPr>
      <w:r>
        <w:t>45-minute run of show</w:t>
      </w:r>
    </w:p>
    <w:p>
      <w:r>
        <w:t>The slide budgets total 40 minutes. Hold five minutes for questions; recover time by compressing slides 6, 10, and 14 rather than cutting the exercise or close.</w:t>
      </w:r>
    </w:p>
    <w:tbl>
      <w:tblPr>
        <w:tblW w:type="auto" w:w="0"/>
        <w:jc w:val="left"/>
        <w:tblLayout w:type="fixed"/>
        <w:tblLook w:firstColumn="1" w:firstRow="1" w:lastColumn="0" w:lastRow="0" w:noHBand="0" w:noVBand="1" w:val="04A0"/>
      </w:tblPr>
      <w:tblGrid>
        <w:gridCol w:w="1008"/>
        <w:gridCol w:w="2736"/>
        <w:gridCol w:w="1080"/>
        <w:gridCol w:w="4752"/>
      </w:tblGrid>
      <w:tr>
        <w:trPr>
          <w:cantSplit/>
          <w:tblHeader/>
        </w:trPr>
        <w:tc>
          <w:tcPr>
            <w:tcW w:type="dxa" w:w="2441"/>
            <w:shd w:fill="071015"/>
            <w:tcMar>
              <w:top w:w="100" w:type="dxa"/>
              <w:start w:w="120" w:type="dxa"/>
              <w:bottom w:w="100" w:type="dxa"/>
              <w:end w:w="120" w:type="dxa"/>
            </w:tcMar>
            <w:vAlign w:val="center"/>
          </w:tcPr>
          <w:p>
            <w:r>
              <w:rPr>
                <w:rFonts w:ascii="Arial" w:hAnsi="Arial"/>
                <w:b/>
                <w:i w:val="0"/>
                <w:color w:val="FFFFFF"/>
                <w:sz w:val="17"/>
              </w:rPr>
              <w:t>Slide</w:t>
            </w:r>
          </w:p>
        </w:tc>
        <w:tc>
          <w:tcPr>
            <w:tcW w:type="dxa" w:w="2441"/>
            <w:shd w:fill="071015"/>
            <w:tcMar>
              <w:top w:w="100" w:type="dxa"/>
              <w:start w:w="120" w:type="dxa"/>
              <w:bottom w:w="100" w:type="dxa"/>
              <w:end w:w="120" w:type="dxa"/>
            </w:tcMar>
            <w:vAlign w:val="center"/>
          </w:tcPr>
          <w:p>
            <w:r>
              <w:rPr>
                <w:rFonts w:ascii="Arial" w:hAnsi="Arial"/>
                <w:b/>
                <w:i w:val="0"/>
                <w:color w:val="FFFFFF"/>
                <w:sz w:val="17"/>
              </w:rPr>
              <w:t>Section</w:t>
            </w:r>
          </w:p>
        </w:tc>
        <w:tc>
          <w:tcPr>
            <w:tcW w:type="dxa" w:w="2441"/>
            <w:shd w:fill="071015"/>
            <w:tcMar>
              <w:top w:w="100" w:type="dxa"/>
              <w:start w:w="120" w:type="dxa"/>
              <w:bottom w:w="100" w:type="dxa"/>
              <w:end w:w="120" w:type="dxa"/>
            </w:tcMar>
            <w:vAlign w:val="center"/>
          </w:tcPr>
          <w:p>
            <w:r>
              <w:rPr>
                <w:rFonts w:ascii="Arial" w:hAnsi="Arial"/>
                <w:b/>
                <w:i w:val="0"/>
                <w:color w:val="FFFFFF"/>
                <w:sz w:val="17"/>
              </w:rPr>
              <w:t>Min</w:t>
            </w:r>
          </w:p>
        </w:tc>
        <w:tc>
          <w:tcPr>
            <w:tcW w:type="dxa" w:w="2441"/>
            <w:shd w:fill="071015"/>
            <w:tcMar>
              <w:top w:w="100" w:type="dxa"/>
              <w:start w:w="120" w:type="dxa"/>
              <w:bottom w:w="100" w:type="dxa"/>
              <w:end w:w="120" w:type="dxa"/>
            </w:tcMar>
            <w:vAlign w:val="center"/>
          </w:tcPr>
          <w:p>
            <w:r>
              <w:rPr>
                <w:rFonts w:ascii="Arial" w:hAnsi="Arial"/>
                <w:b/>
                <w:i w:val="0"/>
                <w:color w:val="FFFFFF"/>
                <w:sz w:val="17"/>
              </w:rPr>
              <w:t>Facilitator job</w:t>
            </w:r>
          </w:p>
        </w:tc>
      </w:tr>
      <w:tr>
        <w:trPr>
          <w:cantSplit/>
        </w:trPr>
        <w:tc>
          <w:tcPr>
            <w:tcW w:type="dxa" w:w="1008"/>
            <w:tcMar>
              <w:top w:w="100" w:type="dxa"/>
              <w:start w:w="120" w:type="dxa"/>
              <w:bottom w:w="100" w:type="dxa"/>
              <w:end w:w="120" w:type="dxa"/>
            </w:tcMar>
            <w:vAlign w:val="center"/>
          </w:tcPr>
          <w:p>
            <w:r>
              <w:rPr>
                <w:rFonts w:ascii="Arial" w:hAnsi="Arial"/>
                <w:b/>
                <w:i w:val="0"/>
                <w:color w:val="071015"/>
                <w:sz w:val="16"/>
              </w:rPr>
              <w:t>1</w:t>
            </w:r>
          </w:p>
        </w:tc>
        <w:tc>
          <w:tcPr>
            <w:tcW w:type="dxa" w:w="2736"/>
            <w:tcMar>
              <w:top w:w="100" w:type="dxa"/>
              <w:start w:w="120" w:type="dxa"/>
              <w:bottom w:w="100" w:type="dxa"/>
              <w:end w:w="120" w:type="dxa"/>
            </w:tcMar>
            <w:vAlign w:val="center"/>
          </w:tcPr>
          <w:p>
            <w:r>
              <w:rPr>
                <w:rFonts w:ascii="Arial" w:hAnsi="Arial"/>
                <w:b w:val="0"/>
                <w:i w:val="0"/>
                <w:color w:val="071015"/>
                <w:sz w:val="16"/>
              </w:rPr>
              <w:t>THE CLUSTER OF WACK</w:t>
            </w:r>
          </w:p>
        </w:tc>
        <w:tc>
          <w:tcPr>
            <w:tcW w:type="dxa" w:w="1080"/>
            <w:tcMar>
              <w:top w:w="100" w:type="dxa"/>
              <w:start w:w="120" w:type="dxa"/>
              <w:bottom w:w="100" w:type="dxa"/>
              <w:end w:w="120" w:type="dxa"/>
            </w:tcMar>
            <w:vAlign w:val="center"/>
          </w:tcPr>
          <w:p>
            <w:r>
              <w:rPr>
                <w:rFonts w:ascii="Arial" w:hAnsi="Arial"/>
                <w:b w:val="0"/>
                <w:i w:val="0"/>
                <w:color w:val="071015"/>
                <w:sz w:val="16"/>
              </w:rPr>
              <w:t>1</w:t>
            </w:r>
          </w:p>
        </w:tc>
        <w:tc>
          <w:tcPr>
            <w:tcW w:type="dxa" w:w="4752"/>
            <w:tcMar>
              <w:top w:w="100" w:type="dxa"/>
              <w:start w:w="120" w:type="dxa"/>
              <w:bottom w:w="100" w:type="dxa"/>
              <w:end w:w="120" w:type="dxa"/>
            </w:tcMar>
            <w:vAlign w:val="center"/>
          </w:tcPr>
          <w:p>
            <w:r>
              <w:rPr>
                <w:rFonts w:ascii="Arial" w:hAnsi="Arial"/>
                <w:b w:val="0"/>
                <w:i w:val="0"/>
                <w:color w:val="071015"/>
                <w:sz w:val="16"/>
              </w:rPr>
              <w:t>Welcome the room and establish the tone: this is affectionate practitioner shorthand for a serious operating problem.</w:t>
            </w:r>
          </w:p>
        </w:tc>
      </w:tr>
      <w:tr>
        <w:trPr>
          <w:cantSplit/>
        </w:trPr>
        <w:tc>
          <w:tcPr>
            <w:tcW w:type="dxa" w:w="1008"/>
            <w:tcMar>
              <w:top w:w="100" w:type="dxa"/>
              <w:start w:w="120" w:type="dxa"/>
              <w:bottom w:w="100" w:type="dxa"/>
              <w:end w:w="120" w:type="dxa"/>
            </w:tcMar>
            <w:vAlign w:val="center"/>
            <w:shd w:fill="F4F7F8"/>
          </w:tcPr>
          <w:p>
            <w:r>
              <w:rPr>
                <w:rFonts w:ascii="Arial" w:hAnsi="Arial"/>
                <w:b/>
                <w:i w:val="0"/>
                <w:color w:val="071015"/>
                <w:sz w:val="16"/>
              </w:rPr>
              <w:t>2</w:t>
            </w:r>
          </w:p>
        </w:tc>
        <w:tc>
          <w:tcPr>
            <w:tcW w:type="dxa" w:w="2736"/>
            <w:tcMar>
              <w:top w:w="100" w:type="dxa"/>
              <w:start w:w="120" w:type="dxa"/>
              <w:bottom w:w="100" w:type="dxa"/>
              <w:end w:w="120" w:type="dxa"/>
            </w:tcMar>
            <w:vAlign w:val="center"/>
            <w:shd w:fill="F4F7F8"/>
          </w:tcPr>
          <w:p>
            <w:r>
              <w:rPr>
                <w:rFonts w:ascii="Arial" w:hAnsi="Arial"/>
                <w:b w:val="0"/>
                <w:i w:val="0"/>
                <w:color w:val="071015"/>
                <w:sz w:val="16"/>
              </w:rPr>
              <w:t>ONE WEIRD THING IS A FINDING.</w:t>
            </w:r>
          </w:p>
        </w:tc>
        <w:tc>
          <w:tcPr>
            <w:tcW w:type="dxa" w:w="1080"/>
            <w:tcMar>
              <w:top w:w="100" w:type="dxa"/>
              <w:start w:w="120" w:type="dxa"/>
              <w:bottom w:w="100" w:type="dxa"/>
              <w:end w:w="120" w:type="dxa"/>
            </w:tcMar>
            <w:vAlign w:val="center"/>
            <w:shd w:fill="F4F7F8"/>
          </w:tcPr>
          <w:p>
            <w:r>
              <w:rPr>
                <w:rFonts w:ascii="Arial" w:hAnsi="Arial"/>
                <w:b w:val="0"/>
                <w:i w:val="0"/>
                <w:color w:val="071015"/>
                <w:sz w:val="16"/>
              </w:rPr>
              <w:t>1</w:t>
            </w:r>
          </w:p>
        </w:tc>
        <w:tc>
          <w:tcPr>
            <w:tcW w:type="dxa" w:w="4752"/>
            <w:tcMar>
              <w:top w:w="100" w:type="dxa"/>
              <w:start w:w="120" w:type="dxa"/>
              <w:bottom w:w="100" w:type="dxa"/>
              <w:end w:w="120" w:type="dxa"/>
            </w:tcMar>
            <w:vAlign w:val="center"/>
            <w:shd w:fill="F4F7F8"/>
          </w:tcPr>
          <w:p>
            <w:r>
              <w:rPr>
                <w:rFonts w:ascii="Arial" w:hAnsi="Arial"/>
                <w:b w:val="0"/>
                <w:i w:val="0"/>
                <w:color w:val="071015"/>
                <w:sz w:val="16"/>
              </w:rPr>
              <w:t>Let the room laugh, then make the point.</w:t>
            </w:r>
          </w:p>
        </w:tc>
      </w:tr>
      <w:tr>
        <w:trPr>
          <w:cantSplit/>
        </w:trPr>
        <w:tc>
          <w:tcPr>
            <w:tcW w:type="dxa" w:w="1008"/>
            <w:tcMar>
              <w:top w:w="100" w:type="dxa"/>
              <w:start w:w="120" w:type="dxa"/>
              <w:bottom w:w="100" w:type="dxa"/>
              <w:end w:w="120" w:type="dxa"/>
            </w:tcMar>
            <w:vAlign w:val="center"/>
          </w:tcPr>
          <w:p>
            <w:r>
              <w:rPr>
                <w:rFonts w:ascii="Arial" w:hAnsi="Arial"/>
                <w:b/>
                <w:i w:val="0"/>
                <w:color w:val="071015"/>
                <w:sz w:val="16"/>
              </w:rPr>
              <w:t>3</w:t>
            </w:r>
          </w:p>
        </w:tc>
        <w:tc>
          <w:tcPr>
            <w:tcW w:type="dxa" w:w="2736"/>
            <w:tcMar>
              <w:top w:w="100" w:type="dxa"/>
              <w:start w:w="120" w:type="dxa"/>
              <w:bottom w:w="100" w:type="dxa"/>
              <w:end w:w="120" w:type="dxa"/>
            </w:tcMar>
            <w:vAlign w:val="center"/>
          </w:tcPr>
          <w:p>
            <w:r>
              <w:rPr>
                <w:rFonts w:ascii="Arial" w:hAnsi="Arial"/>
                <w:b w:val="0"/>
                <w:i w:val="0"/>
                <w:color w:val="071015"/>
                <w:sz w:val="16"/>
              </w:rPr>
              <w:t>COMPLEXITY IS NOT THE SAME AS WACK.</w:t>
            </w:r>
          </w:p>
        </w:tc>
        <w:tc>
          <w:tcPr>
            <w:tcW w:type="dxa" w:w="1080"/>
            <w:tcMar>
              <w:top w:w="100" w:type="dxa"/>
              <w:start w:w="120" w:type="dxa"/>
              <w:bottom w:w="100" w:type="dxa"/>
              <w:end w:w="120" w:type="dxa"/>
            </w:tcMar>
            <w:vAlign w:val="center"/>
          </w:tcPr>
          <w:p>
            <w:r>
              <w:rPr>
                <w:rFonts w:ascii="Arial" w:hAnsi="Arial"/>
                <w:b w:val="0"/>
                <w:i w:val="0"/>
                <w:color w:val="071015"/>
                <w:sz w:val="16"/>
              </w:rPr>
              <w:t>1</w:t>
            </w:r>
          </w:p>
        </w:tc>
        <w:tc>
          <w:tcPr>
            <w:tcW w:type="dxa" w:w="4752"/>
            <w:tcMar>
              <w:top w:w="100" w:type="dxa"/>
              <w:start w:w="120" w:type="dxa"/>
              <w:bottom w:w="100" w:type="dxa"/>
              <w:end w:w="120" w:type="dxa"/>
            </w:tcMar>
            <w:vAlign w:val="center"/>
          </w:tcPr>
          <w:p>
            <w:r>
              <w:rPr>
                <w:rFonts w:ascii="Arial" w:hAnsi="Arial"/>
                <w:b w:val="0"/>
                <w:i w:val="0"/>
                <w:color w:val="071015"/>
                <w:sz w:val="16"/>
              </w:rPr>
              <w:t>Do not frame complicated technology as inherently deficient.</w:t>
            </w:r>
          </w:p>
        </w:tc>
      </w:tr>
      <w:tr>
        <w:trPr>
          <w:cantSplit/>
        </w:trPr>
        <w:tc>
          <w:tcPr>
            <w:tcW w:type="dxa" w:w="1008"/>
            <w:tcMar>
              <w:top w:w="100" w:type="dxa"/>
              <w:start w:w="120" w:type="dxa"/>
              <w:bottom w:w="100" w:type="dxa"/>
              <w:end w:w="120" w:type="dxa"/>
            </w:tcMar>
            <w:vAlign w:val="center"/>
            <w:shd w:fill="F4F7F8"/>
          </w:tcPr>
          <w:p>
            <w:r>
              <w:rPr>
                <w:rFonts w:ascii="Arial" w:hAnsi="Arial"/>
                <w:b/>
                <w:i w:val="0"/>
                <w:color w:val="071015"/>
                <w:sz w:val="16"/>
              </w:rPr>
              <w:t>4</w:t>
            </w:r>
          </w:p>
        </w:tc>
        <w:tc>
          <w:tcPr>
            <w:tcW w:type="dxa" w:w="2736"/>
            <w:tcMar>
              <w:top w:w="100" w:type="dxa"/>
              <w:start w:w="120" w:type="dxa"/>
              <w:bottom w:w="100" w:type="dxa"/>
              <w:end w:w="120" w:type="dxa"/>
            </w:tcMar>
            <w:vAlign w:val="center"/>
            <w:shd w:fill="F4F7F8"/>
          </w:tcPr>
          <w:p>
            <w:r>
              <w:rPr>
                <w:rFonts w:ascii="Arial" w:hAnsi="Arial"/>
                <w:b w:val="0"/>
                <w:i w:val="0"/>
                <w:color w:val="071015"/>
                <w:sz w:val="16"/>
              </w:rPr>
              <w:t>THE WORKING DEFINITION</w:t>
            </w:r>
          </w:p>
        </w:tc>
        <w:tc>
          <w:tcPr>
            <w:tcW w:type="dxa" w:w="1080"/>
            <w:tcMar>
              <w:top w:w="100" w:type="dxa"/>
              <w:start w:w="120" w:type="dxa"/>
              <w:bottom w:w="100" w:type="dxa"/>
              <w:end w:w="120" w:type="dxa"/>
            </w:tcMar>
            <w:vAlign w:val="center"/>
            <w:shd w:fill="F4F7F8"/>
          </w:tcPr>
          <w:p>
            <w:r>
              <w:rPr>
                <w:rFonts w:ascii="Arial" w:hAnsi="Arial"/>
                <w:b w:val="0"/>
                <w:i w:val="0"/>
                <w:color w:val="071015"/>
                <w:sz w:val="16"/>
              </w:rPr>
              <w:t>1</w:t>
            </w:r>
          </w:p>
        </w:tc>
        <w:tc>
          <w:tcPr>
            <w:tcW w:type="dxa" w:w="4752"/>
            <w:tcMar>
              <w:top w:w="100" w:type="dxa"/>
              <w:start w:w="120" w:type="dxa"/>
              <w:bottom w:w="100" w:type="dxa"/>
              <w:end w:w="120" w:type="dxa"/>
            </w:tcMar>
            <w:vAlign w:val="center"/>
            <w:shd w:fill="F4F7F8"/>
          </w:tcPr>
          <w:p>
            <w:r>
              <w:rPr>
                <w:rFonts w:ascii="Arial" w:hAnsi="Arial"/>
                <w:b w:val="0"/>
                <w:i w:val="0"/>
                <w:color w:val="071015"/>
                <w:sz w:val="16"/>
              </w:rPr>
              <w:t>Walk through the terms quickly.</w:t>
            </w:r>
          </w:p>
        </w:tc>
      </w:tr>
      <w:tr>
        <w:trPr>
          <w:cantSplit/>
        </w:trPr>
        <w:tc>
          <w:tcPr>
            <w:tcW w:type="dxa" w:w="1008"/>
            <w:tcMar>
              <w:top w:w="100" w:type="dxa"/>
              <w:start w:w="120" w:type="dxa"/>
              <w:bottom w:w="100" w:type="dxa"/>
              <w:end w:w="120" w:type="dxa"/>
            </w:tcMar>
            <w:vAlign w:val="center"/>
          </w:tcPr>
          <w:p>
            <w:r>
              <w:rPr>
                <w:rFonts w:ascii="Arial" w:hAnsi="Arial"/>
                <w:b/>
                <w:i w:val="0"/>
                <w:color w:val="071015"/>
                <w:sz w:val="16"/>
              </w:rPr>
              <w:t>5</w:t>
            </w:r>
          </w:p>
        </w:tc>
        <w:tc>
          <w:tcPr>
            <w:tcW w:type="dxa" w:w="2736"/>
            <w:tcMar>
              <w:top w:w="100" w:type="dxa"/>
              <w:start w:w="120" w:type="dxa"/>
              <w:bottom w:w="100" w:type="dxa"/>
              <w:end w:w="120" w:type="dxa"/>
            </w:tcMar>
            <w:vAlign w:val="center"/>
          </w:tcPr>
          <w:p>
            <w:r>
              <w:rPr>
                <w:rFonts w:ascii="Arial" w:hAnsi="Arial"/>
                <w:b w:val="0"/>
                <w:i w:val="0"/>
                <w:color w:val="071015"/>
                <w:sz w:val="16"/>
              </w:rPr>
              <w:t>THE SENTENCES THAT SUMMON THE WACK</w:t>
            </w:r>
          </w:p>
        </w:tc>
        <w:tc>
          <w:tcPr>
            <w:tcW w:type="dxa" w:w="1080"/>
            <w:tcMar>
              <w:top w:w="100" w:type="dxa"/>
              <w:start w:w="120" w:type="dxa"/>
              <w:bottom w:w="100" w:type="dxa"/>
              <w:end w:w="120" w:type="dxa"/>
            </w:tcMar>
            <w:vAlign w:val="center"/>
          </w:tcPr>
          <w:p>
            <w:r>
              <w:rPr>
                <w:rFonts w:ascii="Arial" w:hAnsi="Arial"/>
                <w:b w:val="0"/>
                <w:i w:val="0"/>
                <w:color w:val="071015"/>
                <w:sz w:val="16"/>
              </w:rPr>
              <w:t>1</w:t>
            </w:r>
          </w:p>
        </w:tc>
        <w:tc>
          <w:tcPr>
            <w:tcW w:type="dxa" w:w="4752"/>
            <w:tcMar>
              <w:top w:w="100" w:type="dxa"/>
              <w:start w:w="120" w:type="dxa"/>
              <w:bottom w:w="100" w:type="dxa"/>
              <w:end w:w="120" w:type="dxa"/>
            </w:tcMar>
            <w:vAlign w:val="center"/>
          </w:tcPr>
          <w:p>
            <w:r>
              <w:rPr>
                <w:rFonts w:ascii="Arial" w:hAnsi="Arial"/>
                <w:b w:val="0"/>
                <w:i w:val="0"/>
                <w:color w:val="071015"/>
                <w:sz w:val="16"/>
              </w:rPr>
              <w:t>Read these as diagnostic triggers, not punchlines aimed at a team.</w:t>
            </w:r>
          </w:p>
        </w:tc>
      </w:tr>
      <w:tr>
        <w:trPr>
          <w:cantSplit/>
        </w:trPr>
        <w:tc>
          <w:tcPr>
            <w:tcW w:type="dxa" w:w="1008"/>
            <w:tcMar>
              <w:top w:w="100" w:type="dxa"/>
              <w:start w:w="120" w:type="dxa"/>
              <w:bottom w:w="100" w:type="dxa"/>
              <w:end w:w="120" w:type="dxa"/>
            </w:tcMar>
            <w:vAlign w:val="center"/>
            <w:shd w:fill="F4F7F8"/>
          </w:tcPr>
          <w:p>
            <w:r>
              <w:rPr>
                <w:rFonts w:ascii="Arial" w:hAnsi="Arial"/>
                <w:b/>
                <w:i w:val="0"/>
                <w:color w:val="071015"/>
                <w:sz w:val="16"/>
              </w:rPr>
              <w:t>6</w:t>
            </w:r>
          </w:p>
        </w:tc>
        <w:tc>
          <w:tcPr>
            <w:tcW w:type="dxa" w:w="2736"/>
            <w:tcMar>
              <w:top w:w="100" w:type="dxa"/>
              <w:start w:w="120" w:type="dxa"/>
              <w:bottom w:w="100" w:type="dxa"/>
              <w:end w:w="120" w:type="dxa"/>
            </w:tcMar>
            <w:vAlign w:val="center"/>
            <w:shd w:fill="F4F7F8"/>
          </w:tcPr>
          <w:p>
            <w:r>
              <w:rPr>
                <w:rFonts w:ascii="Arial" w:hAnsi="Arial"/>
                <w:b w:val="0"/>
                <w:i w:val="0"/>
                <w:color w:val="071015"/>
                <w:sz w:val="16"/>
              </w:rPr>
              <w:t>A MEMORABLE TERM SHOULD EARN ITS KEEP.</w:t>
            </w:r>
          </w:p>
        </w:tc>
        <w:tc>
          <w:tcPr>
            <w:tcW w:type="dxa" w:w="1080"/>
            <w:tcMar>
              <w:top w:w="100" w:type="dxa"/>
              <w:start w:w="120" w:type="dxa"/>
              <w:bottom w:w="100" w:type="dxa"/>
              <w:end w:w="120" w:type="dxa"/>
            </w:tcMar>
            <w:vAlign w:val="center"/>
            <w:shd w:fill="F4F7F8"/>
          </w:tcPr>
          <w:p>
            <w:r>
              <w:rPr>
                <w:rFonts w:ascii="Arial" w:hAnsi="Arial"/>
                <w:b w:val="0"/>
                <w:i w:val="0"/>
                <w:color w:val="071015"/>
                <w:sz w:val="16"/>
              </w:rPr>
              <w:t>2</w:t>
            </w:r>
          </w:p>
        </w:tc>
        <w:tc>
          <w:tcPr>
            <w:tcW w:type="dxa" w:w="4752"/>
            <w:tcMar>
              <w:top w:w="100" w:type="dxa"/>
              <w:start w:w="120" w:type="dxa"/>
              <w:bottom w:w="100" w:type="dxa"/>
              <w:end w:w="120" w:type="dxa"/>
            </w:tcMar>
            <w:vAlign w:val="center"/>
            <w:shd w:fill="F4F7F8"/>
          </w:tcPr>
          <w:p>
            <w:r>
              <w:rPr>
                <w:rFonts w:ascii="Arial" w:hAnsi="Arial"/>
                <w:b w:val="0"/>
                <w:i w:val="0"/>
                <w:color w:val="071015"/>
                <w:sz w:val="16"/>
              </w:rPr>
              <w:t>These terms are useful only when they improve a real conversation.</w:t>
            </w:r>
          </w:p>
        </w:tc>
      </w:tr>
      <w:tr>
        <w:trPr>
          <w:cantSplit/>
        </w:trPr>
        <w:tc>
          <w:tcPr>
            <w:tcW w:type="dxa" w:w="1008"/>
            <w:tcMar>
              <w:top w:w="100" w:type="dxa"/>
              <w:start w:w="120" w:type="dxa"/>
              <w:bottom w:w="100" w:type="dxa"/>
              <w:end w:w="120" w:type="dxa"/>
            </w:tcMar>
            <w:vAlign w:val="center"/>
          </w:tcPr>
          <w:p>
            <w:r>
              <w:rPr>
                <w:rFonts w:ascii="Arial" w:hAnsi="Arial"/>
                <w:b/>
                <w:i w:val="0"/>
                <w:color w:val="071015"/>
                <w:sz w:val="16"/>
              </w:rPr>
              <w:t>7</w:t>
            </w:r>
          </w:p>
        </w:tc>
        <w:tc>
          <w:tcPr>
            <w:tcW w:type="dxa" w:w="2736"/>
            <w:tcMar>
              <w:top w:w="100" w:type="dxa"/>
              <w:start w:w="120" w:type="dxa"/>
              <w:bottom w:w="100" w:type="dxa"/>
              <w:end w:w="120" w:type="dxa"/>
            </w:tcMar>
            <w:vAlign w:val="center"/>
          </w:tcPr>
          <w:p>
            <w:r>
              <w:rPr>
                <w:rFonts w:ascii="Arial" w:hAnsi="Arial"/>
                <w:b w:val="0"/>
                <w:i w:val="0"/>
                <w:color w:val="071015"/>
                <w:sz w:val="16"/>
              </w:rPr>
              <w:t>OUT OF SCOPE ON MONDAY. PATCHING THE CDE ON TUESDAY.</w:t>
            </w:r>
          </w:p>
        </w:tc>
        <w:tc>
          <w:tcPr>
            <w:tcW w:type="dxa" w:w="1080"/>
            <w:tcMar>
              <w:top w:w="100" w:type="dxa"/>
              <w:start w:w="120" w:type="dxa"/>
              <w:bottom w:w="100" w:type="dxa"/>
              <w:end w:w="120" w:type="dxa"/>
            </w:tcMar>
            <w:vAlign w:val="center"/>
          </w:tcPr>
          <w:p>
            <w:r>
              <w:rPr>
                <w:rFonts w:ascii="Arial" w:hAnsi="Arial"/>
                <w:b w:val="0"/>
                <w:i w:val="0"/>
                <w:color w:val="071015"/>
                <w:sz w:val="16"/>
              </w:rPr>
              <w:t>3</w:t>
            </w:r>
          </w:p>
        </w:tc>
        <w:tc>
          <w:tcPr>
            <w:tcW w:type="dxa" w:w="4752"/>
            <w:tcMar>
              <w:top w:w="100" w:type="dxa"/>
              <w:start w:w="120" w:type="dxa"/>
              <w:bottom w:w="100" w:type="dxa"/>
              <w:end w:w="120" w:type="dxa"/>
            </w:tcMar>
            <w:vAlign w:val="center"/>
          </w:tcPr>
          <w:p>
            <w:r>
              <w:rPr>
                <w:rFonts w:ascii="Arial" w:hAnsi="Arial"/>
                <w:b w:val="0"/>
                <w:i w:val="0"/>
                <w:color w:val="071015"/>
                <w:sz w:val="16"/>
              </w:rPr>
              <w:t>Tell the cold open.</w:t>
            </w:r>
          </w:p>
        </w:tc>
      </w:tr>
      <w:tr>
        <w:trPr>
          <w:cantSplit/>
        </w:trPr>
        <w:tc>
          <w:tcPr>
            <w:tcW w:type="dxa" w:w="1008"/>
            <w:tcMar>
              <w:top w:w="100" w:type="dxa"/>
              <w:start w:w="120" w:type="dxa"/>
              <w:bottom w:w="100" w:type="dxa"/>
              <w:end w:w="120" w:type="dxa"/>
            </w:tcMar>
            <w:vAlign w:val="center"/>
            <w:shd w:fill="F4F7F8"/>
          </w:tcPr>
          <w:p>
            <w:r>
              <w:rPr>
                <w:rFonts w:ascii="Arial" w:hAnsi="Arial"/>
                <w:b/>
                <w:i w:val="0"/>
                <w:color w:val="071015"/>
                <w:sz w:val="16"/>
              </w:rPr>
              <w:t>8</w:t>
            </w:r>
          </w:p>
        </w:tc>
        <w:tc>
          <w:tcPr>
            <w:tcW w:type="dxa" w:w="2736"/>
            <w:tcMar>
              <w:top w:w="100" w:type="dxa"/>
              <w:start w:w="120" w:type="dxa"/>
              <w:bottom w:w="100" w:type="dxa"/>
              <w:end w:w="120" w:type="dxa"/>
            </w:tcMar>
            <w:vAlign w:val="center"/>
            <w:shd w:fill="F4F7F8"/>
          </w:tcPr>
          <w:p>
            <w:r>
              <w:rPr>
                <w:rFonts w:ascii="Arial" w:hAnsi="Arial"/>
                <w:b w:val="0"/>
                <w:i w:val="0"/>
                <w:color w:val="071015"/>
                <w:sz w:val="16"/>
              </w:rPr>
              <w:t>WHAT CHANGED ON PATCH TUESDAY?</w:t>
            </w:r>
          </w:p>
        </w:tc>
        <w:tc>
          <w:tcPr>
            <w:tcW w:type="dxa" w:w="1080"/>
            <w:tcMar>
              <w:top w:w="100" w:type="dxa"/>
              <w:start w:w="120" w:type="dxa"/>
              <w:bottom w:w="100" w:type="dxa"/>
              <w:end w:w="120" w:type="dxa"/>
            </w:tcMar>
            <w:vAlign w:val="center"/>
            <w:shd w:fill="F4F7F8"/>
          </w:tcPr>
          <w:p>
            <w:r>
              <w:rPr>
                <w:rFonts w:ascii="Arial" w:hAnsi="Arial"/>
                <w:b w:val="0"/>
                <w:i w:val="0"/>
                <w:color w:val="071015"/>
                <w:sz w:val="16"/>
              </w:rPr>
              <w:t>1</w:t>
            </w:r>
          </w:p>
        </w:tc>
        <w:tc>
          <w:tcPr>
            <w:tcW w:type="dxa" w:w="4752"/>
            <w:tcMar>
              <w:top w:w="100" w:type="dxa"/>
              <w:start w:w="120" w:type="dxa"/>
              <w:bottom w:w="100" w:type="dxa"/>
              <w:end w:w="120" w:type="dxa"/>
            </w:tcMar>
            <w:vAlign w:val="center"/>
            <w:shd w:fill="F4F7F8"/>
          </w:tcPr>
          <w:p>
            <w:r>
              <w:rPr>
                <w:rFonts w:ascii="Arial" w:hAnsi="Arial"/>
                <w:b w:val="0"/>
                <w:i w:val="0"/>
                <w:color w:val="071015"/>
                <w:sz w:val="16"/>
              </w:rPr>
              <w:t>Pause before revealing the last line.</w:t>
            </w:r>
          </w:p>
        </w:tc>
      </w:tr>
      <w:tr>
        <w:trPr>
          <w:cantSplit/>
        </w:trPr>
        <w:tc>
          <w:tcPr>
            <w:tcW w:type="dxa" w:w="1008"/>
            <w:tcMar>
              <w:top w:w="100" w:type="dxa"/>
              <w:start w:w="120" w:type="dxa"/>
              <w:bottom w:w="100" w:type="dxa"/>
              <w:end w:w="120" w:type="dxa"/>
            </w:tcMar>
            <w:vAlign w:val="center"/>
          </w:tcPr>
          <w:p>
            <w:r>
              <w:rPr>
                <w:rFonts w:ascii="Arial" w:hAnsi="Arial"/>
                <w:b/>
                <w:i w:val="0"/>
                <w:color w:val="071015"/>
                <w:sz w:val="16"/>
              </w:rPr>
              <w:t>9</w:t>
            </w:r>
          </w:p>
        </w:tc>
        <w:tc>
          <w:tcPr>
            <w:tcW w:type="dxa" w:w="2736"/>
            <w:tcMar>
              <w:top w:w="100" w:type="dxa"/>
              <w:start w:w="120" w:type="dxa"/>
              <w:bottom w:w="100" w:type="dxa"/>
              <w:end w:w="120" w:type="dxa"/>
            </w:tcMar>
            <w:vAlign w:val="center"/>
          </w:tcPr>
          <w:p>
            <w:r>
              <w:rPr>
                <w:rFonts w:ascii="Arial" w:hAnsi="Arial"/>
                <w:b w:val="0"/>
                <w:i w:val="0"/>
                <w:color w:val="071015"/>
                <w:sz w:val="16"/>
              </w:rPr>
              <w:t>BUILD A SCOPE STORY, NOT A SCOPE ADJECTIVE.</w:t>
            </w:r>
          </w:p>
        </w:tc>
        <w:tc>
          <w:tcPr>
            <w:tcW w:type="dxa" w:w="1080"/>
            <w:tcMar>
              <w:top w:w="100" w:type="dxa"/>
              <w:start w:w="120" w:type="dxa"/>
              <w:bottom w:w="100" w:type="dxa"/>
              <w:end w:w="120" w:type="dxa"/>
            </w:tcMar>
            <w:vAlign w:val="center"/>
          </w:tcPr>
          <w:p>
            <w:r>
              <w:rPr>
                <w:rFonts w:ascii="Arial" w:hAnsi="Arial"/>
                <w:b w:val="0"/>
                <w:i w:val="0"/>
                <w:color w:val="071015"/>
                <w:sz w:val="16"/>
              </w:rPr>
              <w:t>1</w:t>
            </w:r>
          </w:p>
        </w:tc>
        <w:tc>
          <w:tcPr>
            <w:tcW w:type="dxa" w:w="4752"/>
            <w:tcMar>
              <w:top w:w="100" w:type="dxa"/>
              <w:start w:w="120" w:type="dxa"/>
              <w:bottom w:w="100" w:type="dxa"/>
              <w:end w:w="120" w:type="dxa"/>
            </w:tcMar>
            <w:vAlign w:val="center"/>
          </w:tcPr>
          <w:p>
            <w:r>
              <w:rPr>
                <w:rFonts w:ascii="Arial" w:hAnsi="Arial"/>
                <w:b w:val="0"/>
                <w:i w:val="0"/>
                <w:color w:val="071015"/>
                <w:sz w:val="16"/>
              </w:rPr>
              <w:t>A defensible scope story distinguishes the observed facts from the conclusion.</w:t>
            </w:r>
          </w:p>
        </w:tc>
      </w:tr>
      <w:tr>
        <w:trPr>
          <w:cantSplit/>
        </w:trPr>
        <w:tc>
          <w:tcPr>
            <w:tcW w:type="dxa" w:w="1008"/>
            <w:tcMar>
              <w:top w:w="100" w:type="dxa"/>
              <w:start w:w="120" w:type="dxa"/>
              <w:bottom w:w="100" w:type="dxa"/>
              <w:end w:w="120" w:type="dxa"/>
            </w:tcMar>
            <w:vAlign w:val="center"/>
            <w:shd w:fill="F4F7F8"/>
          </w:tcPr>
          <w:p>
            <w:r>
              <w:rPr>
                <w:rFonts w:ascii="Arial" w:hAnsi="Arial"/>
                <w:b/>
                <w:i w:val="0"/>
                <w:color w:val="071015"/>
                <w:sz w:val="16"/>
              </w:rPr>
              <w:t>10</w:t>
            </w:r>
          </w:p>
        </w:tc>
        <w:tc>
          <w:tcPr>
            <w:tcW w:type="dxa" w:w="2736"/>
            <w:tcMar>
              <w:top w:w="100" w:type="dxa"/>
              <w:start w:w="120" w:type="dxa"/>
              <w:bottom w:w="100" w:type="dxa"/>
              <w:end w:w="120" w:type="dxa"/>
            </w:tcMar>
            <w:vAlign w:val="center"/>
            <w:shd w:fill="F4F7F8"/>
          </w:tcPr>
          <w:p>
            <w:r>
              <w:rPr>
                <w:rFonts w:ascii="Arial" w:hAnsi="Arial"/>
                <w:b w:val="0"/>
                <w:i w:val="0"/>
                <w:color w:val="071015"/>
                <w:sz w:val="16"/>
              </w:rPr>
              <w:t>THE DASHBOARD WAS GREEN. THE POPULATION WAS MISSING.</w:t>
            </w:r>
          </w:p>
        </w:tc>
        <w:tc>
          <w:tcPr>
            <w:tcW w:type="dxa" w:w="1080"/>
            <w:tcMar>
              <w:top w:w="100" w:type="dxa"/>
              <w:start w:w="120" w:type="dxa"/>
              <w:bottom w:w="100" w:type="dxa"/>
              <w:end w:w="120" w:type="dxa"/>
            </w:tcMar>
            <w:vAlign w:val="center"/>
            <w:shd w:fill="F4F7F8"/>
          </w:tcPr>
          <w:p>
            <w:r>
              <w:rPr>
                <w:rFonts w:ascii="Arial" w:hAnsi="Arial"/>
                <w:b w:val="0"/>
                <w:i w:val="0"/>
                <w:color w:val="071015"/>
                <w:sz w:val="16"/>
              </w:rPr>
              <w:t>2</w:t>
            </w:r>
          </w:p>
        </w:tc>
        <w:tc>
          <w:tcPr>
            <w:tcW w:type="dxa" w:w="4752"/>
            <w:tcMar>
              <w:top w:w="100" w:type="dxa"/>
              <w:start w:w="120" w:type="dxa"/>
              <w:bottom w:w="100" w:type="dxa"/>
              <w:end w:w="120" w:type="dxa"/>
            </w:tcMar>
            <w:vAlign w:val="center"/>
            <w:shd w:fill="F4F7F8"/>
          </w:tcPr>
          <w:p>
            <w:r>
              <w:rPr>
                <w:rFonts w:ascii="Arial" w:hAnsi="Arial"/>
                <w:b w:val="0"/>
                <w:i w:val="0"/>
                <w:color w:val="071015"/>
                <w:sz w:val="16"/>
              </w:rPr>
              <w:t>A successful tool result can be accurate for the systems the tool observed while remaining silent about systems absent from its population.</w:t>
            </w:r>
          </w:p>
        </w:tc>
      </w:tr>
      <w:tr>
        <w:trPr>
          <w:cantSplit/>
        </w:trPr>
        <w:tc>
          <w:tcPr>
            <w:tcW w:type="dxa" w:w="1008"/>
            <w:tcMar>
              <w:top w:w="100" w:type="dxa"/>
              <w:start w:w="120" w:type="dxa"/>
              <w:bottom w:w="100" w:type="dxa"/>
              <w:end w:w="120" w:type="dxa"/>
            </w:tcMar>
            <w:vAlign w:val="center"/>
          </w:tcPr>
          <w:p>
            <w:r>
              <w:rPr>
                <w:rFonts w:ascii="Arial" w:hAnsi="Arial"/>
                <w:b/>
                <w:i w:val="0"/>
                <w:color w:val="071015"/>
                <w:sz w:val="16"/>
              </w:rPr>
              <w:t>11</w:t>
            </w:r>
          </w:p>
        </w:tc>
        <w:tc>
          <w:tcPr>
            <w:tcW w:type="dxa" w:w="2736"/>
            <w:tcMar>
              <w:top w:w="100" w:type="dxa"/>
              <w:start w:w="120" w:type="dxa"/>
              <w:bottom w:w="100" w:type="dxa"/>
              <w:end w:w="120" w:type="dxa"/>
            </w:tcMar>
            <w:vAlign w:val="center"/>
          </w:tcPr>
          <w:p>
            <w:r>
              <w:rPr>
                <w:rFonts w:ascii="Arial" w:hAnsi="Arial"/>
                <w:b w:val="0"/>
                <w:i w:val="0"/>
                <w:color w:val="071015"/>
                <w:sz w:val="16"/>
              </w:rPr>
              <w:t>GREEN IS A RESULT. PROOF NEEDS A CHAIN.</w:t>
            </w:r>
          </w:p>
        </w:tc>
        <w:tc>
          <w:tcPr>
            <w:tcW w:type="dxa" w:w="1080"/>
            <w:tcMar>
              <w:top w:w="100" w:type="dxa"/>
              <w:start w:w="120" w:type="dxa"/>
              <w:bottom w:w="100" w:type="dxa"/>
              <w:end w:w="120" w:type="dxa"/>
            </w:tcMar>
            <w:vAlign w:val="center"/>
          </w:tcPr>
          <w:p>
            <w:r>
              <w:rPr>
                <w:rFonts w:ascii="Arial" w:hAnsi="Arial"/>
                <w:b w:val="0"/>
                <w:i w:val="0"/>
                <w:color w:val="071015"/>
                <w:sz w:val="16"/>
              </w:rPr>
              <w:t>1</w:t>
            </w:r>
          </w:p>
        </w:tc>
        <w:tc>
          <w:tcPr>
            <w:tcW w:type="dxa" w:w="4752"/>
            <w:tcMar>
              <w:top w:w="100" w:type="dxa"/>
              <w:start w:w="120" w:type="dxa"/>
              <w:bottom w:w="100" w:type="dxa"/>
              <w:end w:w="120" w:type="dxa"/>
            </w:tcMar>
            <w:vAlign w:val="center"/>
          </w:tcPr>
          <w:p>
            <w:r>
              <w:rPr>
                <w:rFonts w:ascii="Arial" w:hAnsi="Arial"/>
                <w:b w:val="0"/>
                <w:i w:val="0"/>
                <w:color w:val="071015"/>
                <w:sz w:val="16"/>
              </w:rPr>
              <w:t>Use the six labels as a verbal evidence chain.</w:t>
            </w:r>
          </w:p>
        </w:tc>
      </w:tr>
      <w:tr>
        <w:trPr>
          <w:cantSplit/>
        </w:trPr>
        <w:tc>
          <w:tcPr>
            <w:tcW w:type="dxa" w:w="1008"/>
            <w:tcMar>
              <w:top w:w="100" w:type="dxa"/>
              <w:start w:w="120" w:type="dxa"/>
              <w:bottom w:w="100" w:type="dxa"/>
              <w:end w:w="120" w:type="dxa"/>
            </w:tcMar>
            <w:vAlign w:val="center"/>
            <w:shd w:fill="F4F7F8"/>
          </w:tcPr>
          <w:p>
            <w:r>
              <w:rPr>
                <w:rFonts w:ascii="Arial" w:hAnsi="Arial"/>
                <w:b/>
                <w:i w:val="0"/>
                <w:color w:val="071015"/>
                <w:sz w:val="16"/>
              </w:rPr>
              <w:t>12</w:t>
            </w:r>
          </w:p>
        </w:tc>
        <w:tc>
          <w:tcPr>
            <w:tcW w:type="dxa" w:w="2736"/>
            <w:tcMar>
              <w:top w:w="100" w:type="dxa"/>
              <w:start w:w="120" w:type="dxa"/>
              <w:bottom w:w="100" w:type="dxa"/>
              <w:end w:w="120" w:type="dxa"/>
            </w:tcMar>
            <w:vAlign w:val="center"/>
            <w:shd w:fill="F4F7F8"/>
          </w:tcPr>
          <w:p>
            <w:r>
              <w:rPr>
                <w:rFonts w:ascii="Arial" w:hAnsi="Arial"/>
                <w:b w:val="0"/>
                <w:i w:val="0"/>
                <w:color w:val="071015"/>
                <w:sz w:val="16"/>
              </w:rPr>
              <w:t>THE AOC ANSWERED A QUESTION. NOT THIS ONE.</w:t>
            </w:r>
          </w:p>
        </w:tc>
        <w:tc>
          <w:tcPr>
            <w:tcW w:type="dxa" w:w="1080"/>
            <w:tcMar>
              <w:top w:w="100" w:type="dxa"/>
              <w:start w:w="120" w:type="dxa"/>
              <w:bottom w:w="100" w:type="dxa"/>
              <w:end w:w="120" w:type="dxa"/>
            </w:tcMar>
            <w:vAlign w:val="center"/>
            <w:shd w:fill="F4F7F8"/>
          </w:tcPr>
          <w:p>
            <w:r>
              <w:rPr>
                <w:rFonts w:ascii="Arial" w:hAnsi="Arial"/>
                <w:b w:val="0"/>
                <w:i w:val="0"/>
                <w:color w:val="071015"/>
                <w:sz w:val="16"/>
              </w:rPr>
              <w:t>3</w:t>
            </w:r>
          </w:p>
        </w:tc>
        <w:tc>
          <w:tcPr>
            <w:tcW w:type="dxa" w:w="4752"/>
            <w:tcMar>
              <w:top w:w="100" w:type="dxa"/>
              <w:start w:w="120" w:type="dxa"/>
              <w:bottom w:w="100" w:type="dxa"/>
              <w:end w:w="120" w:type="dxa"/>
            </w:tcMar>
            <w:vAlign w:val="center"/>
            <w:shd w:fill="F4F7F8"/>
          </w:tcPr>
          <w:p>
            <w:r>
              <w:rPr>
                <w:rFonts w:ascii="Arial" w:hAnsi="Arial"/>
                <w:b w:val="0"/>
                <w:i w:val="0"/>
                <w:color w:val="071015"/>
                <w:sz w:val="16"/>
              </w:rPr>
              <w:t>Explain the composite: a provider document described the provider's assessed services, but the customer needed to know how responsibility operated for the specific service relationship.</w:t>
            </w:r>
          </w:p>
        </w:tc>
      </w:tr>
      <w:tr>
        <w:trPr>
          <w:cantSplit/>
        </w:trPr>
        <w:tc>
          <w:tcPr>
            <w:tcW w:type="dxa" w:w="1008"/>
            <w:tcMar>
              <w:top w:w="100" w:type="dxa"/>
              <w:start w:w="120" w:type="dxa"/>
              <w:bottom w:w="100" w:type="dxa"/>
              <w:end w:w="120" w:type="dxa"/>
            </w:tcMar>
            <w:vAlign w:val="center"/>
          </w:tcPr>
          <w:p>
            <w:r>
              <w:rPr>
                <w:rFonts w:ascii="Arial" w:hAnsi="Arial"/>
                <w:b/>
                <w:i w:val="0"/>
                <w:color w:val="071015"/>
                <w:sz w:val="16"/>
              </w:rPr>
              <w:t>13</w:t>
            </w:r>
          </w:p>
        </w:tc>
        <w:tc>
          <w:tcPr>
            <w:tcW w:type="dxa" w:w="2736"/>
            <w:tcMar>
              <w:top w:w="100" w:type="dxa"/>
              <w:start w:w="120" w:type="dxa"/>
              <w:bottom w:w="100" w:type="dxa"/>
              <w:end w:w="120" w:type="dxa"/>
            </w:tcMar>
            <w:vAlign w:val="center"/>
          </w:tcPr>
          <w:p>
            <w:r>
              <w:rPr>
                <w:rFonts w:ascii="Arial" w:hAnsi="Arial"/>
                <w:b w:val="0"/>
                <w:i w:val="0"/>
                <w:color w:val="071015"/>
                <w:sz w:val="16"/>
              </w:rPr>
              <w:t>AN AOC IS NOT A RESPONSIBILITY MATRIX.</w:t>
            </w:r>
          </w:p>
        </w:tc>
        <w:tc>
          <w:tcPr>
            <w:tcW w:type="dxa" w:w="1080"/>
            <w:tcMar>
              <w:top w:w="100" w:type="dxa"/>
              <w:start w:w="120" w:type="dxa"/>
              <w:bottom w:w="100" w:type="dxa"/>
              <w:end w:w="120" w:type="dxa"/>
            </w:tcMar>
            <w:vAlign w:val="center"/>
          </w:tcPr>
          <w:p>
            <w:r>
              <w:rPr>
                <w:rFonts w:ascii="Arial" w:hAnsi="Arial"/>
                <w:b w:val="0"/>
                <w:i w:val="0"/>
                <w:color w:val="071015"/>
                <w:sz w:val="16"/>
              </w:rPr>
              <w:t>2</w:t>
            </w:r>
          </w:p>
        </w:tc>
        <w:tc>
          <w:tcPr>
            <w:tcW w:type="dxa" w:w="4752"/>
            <w:tcMar>
              <w:top w:w="100" w:type="dxa"/>
              <w:start w:w="120" w:type="dxa"/>
              <w:bottom w:w="100" w:type="dxa"/>
              <w:end w:w="120" w:type="dxa"/>
            </w:tcMar>
            <w:vAlign w:val="center"/>
          </w:tcPr>
          <w:p>
            <w:r>
              <w:rPr>
                <w:rFonts w:ascii="Arial" w:hAnsi="Arial"/>
                <w:b w:val="0"/>
                <w:i w:val="0"/>
                <w:color w:val="071015"/>
                <w:sz w:val="16"/>
              </w:rPr>
              <w:t>Walk across the seam from provider to customer.</w:t>
            </w:r>
          </w:p>
        </w:tc>
      </w:tr>
      <w:tr>
        <w:trPr>
          <w:cantSplit/>
        </w:trPr>
        <w:tc>
          <w:tcPr>
            <w:tcW w:type="dxa" w:w="1008"/>
            <w:tcMar>
              <w:top w:w="100" w:type="dxa"/>
              <w:start w:w="120" w:type="dxa"/>
              <w:bottom w:w="100" w:type="dxa"/>
              <w:end w:w="120" w:type="dxa"/>
            </w:tcMar>
            <w:vAlign w:val="center"/>
            <w:shd w:fill="F4F7F8"/>
          </w:tcPr>
          <w:p>
            <w:r>
              <w:rPr>
                <w:rFonts w:ascii="Arial" w:hAnsi="Arial"/>
                <w:b/>
                <w:i w:val="0"/>
                <w:color w:val="071015"/>
                <w:sz w:val="16"/>
              </w:rPr>
              <w:t>14</w:t>
            </w:r>
          </w:p>
        </w:tc>
        <w:tc>
          <w:tcPr>
            <w:tcW w:type="dxa" w:w="2736"/>
            <w:tcMar>
              <w:top w:w="100" w:type="dxa"/>
              <w:start w:w="120" w:type="dxa"/>
              <w:bottom w:w="100" w:type="dxa"/>
              <w:end w:w="120" w:type="dxa"/>
            </w:tcMar>
            <w:vAlign w:val="center"/>
            <w:shd w:fill="F4F7F8"/>
          </w:tcPr>
          <w:p>
            <w:r>
              <w:rPr>
                <w:rFonts w:ascii="Arial" w:hAnsi="Arial"/>
                <w:b w:val="0"/>
                <w:i w:val="0"/>
                <w:color w:val="071015"/>
                <w:sz w:val="16"/>
              </w:rPr>
              <w:t>WACK HAS MECHANICS.</w:t>
            </w:r>
          </w:p>
        </w:tc>
        <w:tc>
          <w:tcPr>
            <w:tcW w:type="dxa" w:w="1080"/>
            <w:tcMar>
              <w:top w:w="100" w:type="dxa"/>
              <w:start w:w="120" w:type="dxa"/>
              <w:bottom w:w="100" w:type="dxa"/>
              <w:end w:w="120" w:type="dxa"/>
            </w:tcMar>
            <w:vAlign w:val="center"/>
            <w:shd w:fill="F4F7F8"/>
          </w:tcPr>
          <w:p>
            <w:r>
              <w:rPr>
                <w:rFonts w:ascii="Arial" w:hAnsi="Arial"/>
                <w:b w:val="0"/>
                <w:i w:val="0"/>
                <w:color w:val="071015"/>
                <w:sz w:val="16"/>
              </w:rPr>
              <w:t>1</w:t>
            </w:r>
          </w:p>
        </w:tc>
        <w:tc>
          <w:tcPr>
            <w:tcW w:type="dxa" w:w="4752"/>
            <w:tcMar>
              <w:top w:w="100" w:type="dxa"/>
              <w:start w:w="120" w:type="dxa"/>
              <w:bottom w:w="100" w:type="dxa"/>
              <w:end w:w="120" w:type="dxa"/>
            </w:tcMar>
            <w:vAlign w:val="center"/>
            <w:shd w:fill="F4F7F8"/>
          </w:tcPr>
          <w:p>
            <w:r>
              <w:rPr>
                <w:rFonts w:ascii="Arial" w:hAnsi="Arial"/>
                <w:b w:val="0"/>
                <w:i w:val="0"/>
                <w:color w:val="071015"/>
                <w:sz w:val="16"/>
              </w:rPr>
              <w:t>Connect the vocabulary as a causal sequence.</w:t>
            </w:r>
          </w:p>
        </w:tc>
      </w:tr>
      <w:tr>
        <w:trPr>
          <w:cantSplit/>
        </w:trPr>
        <w:tc>
          <w:tcPr>
            <w:tcW w:type="dxa" w:w="1008"/>
            <w:tcMar>
              <w:top w:w="100" w:type="dxa"/>
              <w:start w:w="120" w:type="dxa"/>
              <w:bottom w:w="100" w:type="dxa"/>
              <w:end w:w="120" w:type="dxa"/>
            </w:tcMar>
            <w:vAlign w:val="center"/>
          </w:tcPr>
          <w:p>
            <w:r>
              <w:rPr>
                <w:rFonts w:ascii="Arial" w:hAnsi="Arial"/>
                <w:b/>
                <w:i w:val="0"/>
                <w:color w:val="071015"/>
                <w:sz w:val="16"/>
              </w:rPr>
              <w:t>15</w:t>
            </w:r>
          </w:p>
        </w:tc>
        <w:tc>
          <w:tcPr>
            <w:tcW w:type="dxa" w:w="2736"/>
            <w:tcMar>
              <w:top w:w="100" w:type="dxa"/>
              <w:start w:w="120" w:type="dxa"/>
              <w:bottom w:w="100" w:type="dxa"/>
              <w:end w:w="120" w:type="dxa"/>
            </w:tcMar>
            <w:vAlign w:val="center"/>
          </w:tcPr>
          <w:p>
            <w:r>
              <w:rPr>
                <w:rFonts w:ascii="Arial" w:hAnsi="Arial"/>
                <w:b w:val="0"/>
                <w:i w:val="0"/>
                <w:color w:val="071015"/>
                <w:sz w:val="16"/>
              </w:rPr>
              <w:t>THE TEMPORARY RULE BECAME LOAD-BEARING.</w:t>
            </w:r>
          </w:p>
        </w:tc>
        <w:tc>
          <w:tcPr>
            <w:tcW w:type="dxa" w:w="1080"/>
            <w:tcMar>
              <w:top w:w="100" w:type="dxa"/>
              <w:start w:w="120" w:type="dxa"/>
              <w:bottom w:w="100" w:type="dxa"/>
              <w:end w:w="120" w:type="dxa"/>
            </w:tcMar>
            <w:vAlign w:val="center"/>
          </w:tcPr>
          <w:p>
            <w:r>
              <w:rPr>
                <w:rFonts w:ascii="Arial" w:hAnsi="Arial"/>
                <w:b w:val="0"/>
                <w:i w:val="0"/>
                <w:color w:val="071015"/>
                <w:sz w:val="16"/>
              </w:rPr>
              <w:t>2</w:t>
            </w:r>
          </w:p>
        </w:tc>
        <w:tc>
          <w:tcPr>
            <w:tcW w:type="dxa" w:w="4752"/>
            <w:tcMar>
              <w:top w:w="100" w:type="dxa"/>
              <w:start w:w="120" w:type="dxa"/>
              <w:bottom w:w="100" w:type="dxa"/>
              <w:end w:w="120" w:type="dxa"/>
            </w:tcMar>
            <w:vAlign w:val="center"/>
          </w:tcPr>
          <w:p>
            <w:r>
              <w:rPr>
                <w:rFonts w:ascii="Arial" w:hAnsi="Arial"/>
                <w:b w:val="0"/>
                <w:i w:val="0"/>
                <w:color w:val="071015"/>
                <w:sz w:val="16"/>
              </w:rPr>
              <w:t>Tell the pattern: a temporary firewall exception outlived the original need, gained consumers, entered operating assumptions, and became difficult to remove because nobody could confidently predict the blast radius.</w:t>
            </w:r>
          </w:p>
        </w:tc>
      </w:tr>
      <w:tr>
        <w:trPr>
          <w:cantSplit/>
        </w:trPr>
        <w:tc>
          <w:tcPr>
            <w:tcW w:type="dxa" w:w="1008"/>
            <w:tcMar>
              <w:top w:w="100" w:type="dxa"/>
              <w:start w:w="120" w:type="dxa"/>
              <w:bottom w:w="100" w:type="dxa"/>
              <w:end w:w="120" w:type="dxa"/>
            </w:tcMar>
            <w:vAlign w:val="center"/>
            <w:shd w:fill="F4F7F8"/>
          </w:tcPr>
          <w:p>
            <w:r>
              <w:rPr>
                <w:rFonts w:ascii="Arial" w:hAnsi="Arial"/>
                <w:b/>
                <w:i w:val="0"/>
                <w:color w:val="071015"/>
                <w:sz w:val="16"/>
              </w:rPr>
              <w:t>16</w:t>
            </w:r>
          </w:p>
        </w:tc>
        <w:tc>
          <w:tcPr>
            <w:tcW w:type="dxa" w:w="2736"/>
            <w:tcMar>
              <w:top w:w="100" w:type="dxa"/>
              <w:start w:w="120" w:type="dxa"/>
              <w:bottom w:w="100" w:type="dxa"/>
              <w:end w:w="120" w:type="dxa"/>
            </w:tcMar>
            <w:vAlign w:val="center"/>
            <w:shd w:fill="F4F7F8"/>
          </w:tcPr>
          <w:p>
            <w:r>
              <w:rPr>
                <w:rFonts w:ascii="Arial" w:hAnsi="Arial"/>
                <w:b w:val="0"/>
                <w:i w:val="0"/>
                <w:color w:val="071015"/>
                <w:sz w:val="16"/>
              </w:rPr>
              <w:t>CHOOSE ONE RELATIONSHIP THAT MAKES PEOPLE SAY: IT'S COMPLICATED.</w:t>
            </w:r>
          </w:p>
        </w:tc>
        <w:tc>
          <w:tcPr>
            <w:tcW w:type="dxa" w:w="1080"/>
            <w:tcMar>
              <w:top w:w="100" w:type="dxa"/>
              <w:start w:w="120" w:type="dxa"/>
              <w:bottom w:w="100" w:type="dxa"/>
              <w:end w:w="120" w:type="dxa"/>
            </w:tcMar>
            <w:vAlign w:val="center"/>
            <w:shd w:fill="F4F7F8"/>
          </w:tcPr>
          <w:p>
            <w:r>
              <w:rPr>
                <w:rFonts w:ascii="Arial" w:hAnsi="Arial"/>
                <w:b w:val="0"/>
                <w:i w:val="0"/>
                <w:color w:val="071015"/>
                <w:sz w:val="16"/>
              </w:rPr>
              <w:t>1</w:t>
            </w:r>
          </w:p>
        </w:tc>
        <w:tc>
          <w:tcPr>
            <w:tcW w:type="dxa" w:w="4752"/>
            <w:tcMar>
              <w:top w:w="100" w:type="dxa"/>
              <w:start w:w="120" w:type="dxa"/>
              <w:bottom w:w="100" w:type="dxa"/>
              <w:end w:w="120" w:type="dxa"/>
            </w:tcMar>
            <w:vAlign w:val="center"/>
            <w:shd w:fill="F4F7F8"/>
          </w:tcPr>
          <w:p>
            <w:r>
              <w:rPr>
                <w:rFonts w:ascii="Arial" w:hAnsi="Arial"/>
                <w:b w:val="0"/>
                <w:i w:val="0"/>
                <w:color w:val="071015"/>
                <w:sz w:val="16"/>
              </w:rPr>
              <w:t>Distribute or point to the participant workbook.</w:t>
            </w:r>
          </w:p>
        </w:tc>
      </w:tr>
      <w:tr>
        <w:trPr>
          <w:cantSplit/>
        </w:trPr>
        <w:tc>
          <w:tcPr>
            <w:tcW w:type="dxa" w:w="1008"/>
            <w:tcMar>
              <w:top w:w="100" w:type="dxa"/>
              <w:start w:w="120" w:type="dxa"/>
              <w:bottom w:w="100" w:type="dxa"/>
              <w:end w:w="120" w:type="dxa"/>
            </w:tcMar>
            <w:vAlign w:val="center"/>
          </w:tcPr>
          <w:p>
            <w:r>
              <w:rPr>
                <w:rFonts w:ascii="Arial" w:hAnsi="Arial"/>
                <w:b/>
                <w:i w:val="0"/>
                <w:color w:val="071015"/>
                <w:sz w:val="16"/>
              </w:rPr>
              <w:t>17</w:t>
            </w:r>
          </w:p>
        </w:tc>
        <w:tc>
          <w:tcPr>
            <w:tcW w:type="dxa" w:w="2736"/>
            <w:tcMar>
              <w:top w:w="100" w:type="dxa"/>
              <w:start w:w="120" w:type="dxa"/>
              <w:bottom w:w="100" w:type="dxa"/>
              <w:end w:w="120" w:type="dxa"/>
            </w:tcMar>
            <w:vAlign w:val="center"/>
          </w:tcPr>
          <w:p>
            <w:r>
              <w:rPr>
                <w:rFonts w:ascii="Arial" w:hAnsi="Arial"/>
                <w:b w:val="0"/>
                <w:i w:val="0"/>
                <w:color w:val="071015"/>
                <w:sz w:val="16"/>
              </w:rPr>
              <w:t>01 / FIND THE WACK</w:t>
            </w:r>
          </w:p>
        </w:tc>
        <w:tc>
          <w:tcPr>
            <w:tcW w:type="dxa" w:w="1080"/>
            <w:tcMar>
              <w:top w:w="100" w:type="dxa"/>
              <w:start w:w="120" w:type="dxa"/>
              <w:bottom w:w="100" w:type="dxa"/>
              <w:end w:w="120" w:type="dxa"/>
            </w:tcMar>
            <w:vAlign w:val="center"/>
          </w:tcPr>
          <w:p>
            <w:r>
              <w:rPr>
                <w:rFonts w:ascii="Arial" w:hAnsi="Arial"/>
                <w:b w:val="0"/>
                <w:i w:val="0"/>
                <w:color w:val="071015"/>
                <w:sz w:val="16"/>
              </w:rPr>
              <w:t>2</w:t>
            </w:r>
          </w:p>
        </w:tc>
        <w:tc>
          <w:tcPr>
            <w:tcW w:type="dxa" w:w="4752"/>
            <w:tcMar>
              <w:top w:w="100" w:type="dxa"/>
              <w:start w:w="120" w:type="dxa"/>
              <w:bottom w:w="100" w:type="dxa"/>
              <w:end w:w="120" w:type="dxa"/>
            </w:tcMar>
            <w:vAlign w:val="center"/>
          </w:tcPr>
          <w:p>
            <w:r>
              <w:rPr>
                <w:rFonts w:ascii="Arial" w:hAnsi="Arial"/>
                <w:b w:val="0"/>
                <w:i w:val="0"/>
                <w:color w:val="071015"/>
                <w:sz w:val="16"/>
              </w:rPr>
              <w:t>Give the room about sixty seconds to write.</w:t>
            </w:r>
          </w:p>
        </w:tc>
      </w:tr>
      <w:tr>
        <w:trPr>
          <w:cantSplit/>
        </w:trPr>
        <w:tc>
          <w:tcPr>
            <w:tcW w:type="dxa" w:w="1008"/>
            <w:tcMar>
              <w:top w:w="100" w:type="dxa"/>
              <w:start w:w="120" w:type="dxa"/>
              <w:bottom w:w="100" w:type="dxa"/>
              <w:end w:w="120" w:type="dxa"/>
            </w:tcMar>
            <w:vAlign w:val="center"/>
            <w:shd w:fill="F4F7F8"/>
          </w:tcPr>
          <w:p>
            <w:r>
              <w:rPr>
                <w:rFonts w:ascii="Arial" w:hAnsi="Arial"/>
                <w:b/>
                <w:i w:val="0"/>
                <w:color w:val="071015"/>
                <w:sz w:val="16"/>
              </w:rPr>
              <w:t>18</w:t>
            </w:r>
          </w:p>
        </w:tc>
        <w:tc>
          <w:tcPr>
            <w:tcW w:type="dxa" w:w="2736"/>
            <w:tcMar>
              <w:top w:w="100" w:type="dxa"/>
              <w:start w:w="120" w:type="dxa"/>
              <w:bottom w:w="100" w:type="dxa"/>
              <w:end w:w="120" w:type="dxa"/>
            </w:tcMar>
            <w:vAlign w:val="center"/>
            <w:shd w:fill="F4F7F8"/>
          </w:tcPr>
          <w:p>
            <w:r>
              <w:rPr>
                <w:rFonts w:ascii="Arial" w:hAnsi="Arial"/>
                <w:b w:val="0"/>
                <w:i w:val="0"/>
                <w:color w:val="071015"/>
                <w:sz w:val="16"/>
              </w:rPr>
              <w:t>02 / MAP THE WACK</w:t>
            </w:r>
          </w:p>
        </w:tc>
        <w:tc>
          <w:tcPr>
            <w:tcW w:type="dxa" w:w="1080"/>
            <w:tcMar>
              <w:top w:w="100" w:type="dxa"/>
              <w:start w:w="120" w:type="dxa"/>
              <w:bottom w:w="100" w:type="dxa"/>
              <w:end w:w="120" w:type="dxa"/>
            </w:tcMar>
            <w:vAlign w:val="center"/>
            <w:shd w:fill="F4F7F8"/>
          </w:tcPr>
          <w:p>
            <w:r>
              <w:rPr>
                <w:rFonts w:ascii="Arial" w:hAnsi="Arial"/>
                <w:b w:val="0"/>
                <w:i w:val="0"/>
                <w:color w:val="071015"/>
                <w:sz w:val="16"/>
              </w:rPr>
              <w:t>3</w:t>
            </w:r>
          </w:p>
        </w:tc>
        <w:tc>
          <w:tcPr>
            <w:tcW w:type="dxa" w:w="4752"/>
            <w:tcMar>
              <w:top w:w="100" w:type="dxa"/>
              <w:start w:w="120" w:type="dxa"/>
              <w:bottom w:w="100" w:type="dxa"/>
              <w:end w:w="120" w:type="dxa"/>
            </w:tcMar>
            <w:vAlign w:val="center"/>
            <w:shd w:fill="F4F7F8"/>
          </w:tcPr>
          <w:p>
            <w:r>
              <w:rPr>
                <w:rFonts w:ascii="Arial" w:hAnsi="Arial"/>
                <w:b w:val="0"/>
                <w:i w:val="0"/>
                <w:color w:val="071015"/>
                <w:sz w:val="16"/>
              </w:rPr>
              <w:t>Ask participants to draw boxes and arrows, not a polished architecture diagram.</w:t>
            </w:r>
          </w:p>
        </w:tc>
      </w:tr>
      <w:tr>
        <w:trPr>
          <w:cantSplit/>
        </w:trPr>
        <w:tc>
          <w:tcPr>
            <w:tcW w:type="dxa" w:w="1008"/>
            <w:tcMar>
              <w:top w:w="100" w:type="dxa"/>
              <w:start w:w="120" w:type="dxa"/>
              <w:bottom w:w="100" w:type="dxa"/>
              <w:end w:w="120" w:type="dxa"/>
            </w:tcMar>
            <w:vAlign w:val="center"/>
          </w:tcPr>
          <w:p>
            <w:r>
              <w:rPr>
                <w:rFonts w:ascii="Arial" w:hAnsi="Arial"/>
                <w:b/>
                <w:i w:val="0"/>
                <w:color w:val="071015"/>
                <w:sz w:val="16"/>
              </w:rPr>
              <w:t>19</w:t>
            </w:r>
          </w:p>
        </w:tc>
        <w:tc>
          <w:tcPr>
            <w:tcW w:type="dxa" w:w="2736"/>
            <w:tcMar>
              <w:top w:w="100" w:type="dxa"/>
              <w:start w:w="120" w:type="dxa"/>
              <w:bottom w:w="100" w:type="dxa"/>
              <w:end w:w="120" w:type="dxa"/>
            </w:tcMar>
            <w:vAlign w:val="center"/>
          </w:tcPr>
          <w:p>
            <w:r>
              <w:rPr>
                <w:rFonts w:ascii="Arial" w:hAnsi="Arial"/>
                <w:b w:val="0"/>
                <w:i w:val="0"/>
                <w:color w:val="071015"/>
                <w:sz w:val="16"/>
              </w:rPr>
              <w:t>03 / EXPLAIN THE WACK</w:t>
            </w:r>
          </w:p>
        </w:tc>
        <w:tc>
          <w:tcPr>
            <w:tcW w:type="dxa" w:w="1080"/>
            <w:tcMar>
              <w:top w:w="100" w:type="dxa"/>
              <w:start w:w="120" w:type="dxa"/>
              <w:bottom w:w="100" w:type="dxa"/>
              <w:end w:w="120" w:type="dxa"/>
            </w:tcMar>
            <w:vAlign w:val="center"/>
          </w:tcPr>
          <w:p>
            <w:r>
              <w:rPr>
                <w:rFonts w:ascii="Arial" w:hAnsi="Arial"/>
                <w:b w:val="0"/>
                <w:i w:val="0"/>
                <w:color w:val="071015"/>
                <w:sz w:val="16"/>
              </w:rPr>
              <w:t>2</w:t>
            </w:r>
          </w:p>
        </w:tc>
        <w:tc>
          <w:tcPr>
            <w:tcW w:type="dxa" w:w="4752"/>
            <w:tcMar>
              <w:top w:w="100" w:type="dxa"/>
              <w:start w:w="120" w:type="dxa"/>
              <w:bottom w:w="100" w:type="dxa"/>
              <w:end w:w="120" w:type="dxa"/>
            </w:tcMar>
            <w:vAlign w:val="center"/>
          </w:tcPr>
          <w:p>
            <w:r>
              <w:rPr>
                <w:rFonts w:ascii="Arial" w:hAnsi="Arial"/>
                <w:b w:val="0"/>
                <w:i w:val="0"/>
                <w:color w:val="071015"/>
                <w:sz w:val="16"/>
              </w:rPr>
              <w:t>Push past historical origin stories.</w:t>
            </w:r>
          </w:p>
        </w:tc>
      </w:tr>
      <w:tr>
        <w:trPr>
          <w:cantSplit/>
        </w:trPr>
        <w:tc>
          <w:tcPr>
            <w:tcW w:type="dxa" w:w="1008"/>
            <w:tcMar>
              <w:top w:w="100" w:type="dxa"/>
              <w:start w:w="120" w:type="dxa"/>
              <w:bottom w:w="100" w:type="dxa"/>
              <w:end w:w="120" w:type="dxa"/>
            </w:tcMar>
            <w:vAlign w:val="center"/>
            <w:shd w:fill="F4F7F8"/>
          </w:tcPr>
          <w:p>
            <w:r>
              <w:rPr>
                <w:rFonts w:ascii="Arial" w:hAnsi="Arial"/>
                <w:b/>
                <w:i w:val="0"/>
                <w:color w:val="071015"/>
                <w:sz w:val="16"/>
              </w:rPr>
              <w:t>20</w:t>
            </w:r>
          </w:p>
        </w:tc>
        <w:tc>
          <w:tcPr>
            <w:tcW w:type="dxa" w:w="2736"/>
            <w:tcMar>
              <w:top w:w="100" w:type="dxa"/>
              <w:start w:w="120" w:type="dxa"/>
              <w:bottom w:w="100" w:type="dxa"/>
              <w:end w:w="120" w:type="dxa"/>
            </w:tcMar>
            <w:vAlign w:val="center"/>
            <w:shd w:fill="F4F7F8"/>
          </w:tcPr>
          <w:p>
            <w:r>
              <w:rPr>
                <w:rFonts w:ascii="Arial" w:hAnsi="Arial"/>
                <w:b w:val="0"/>
                <w:i w:val="0"/>
                <w:color w:val="071015"/>
                <w:sz w:val="16"/>
              </w:rPr>
              <w:t>04 / REDUCE THE WACK</w:t>
            </w:r>
          </w:p>
        </w:tc>
        <w:tc>
          <w:tcPr>
            <w:tcW w:type="dxa" w:w="1080"/>
            <w:tcMar>
              <w:top w:w="100" w:type="dxa"/>
              <w:start w:w="120" w:type="dxa"/>
              <w:bottom w:w="100" w:type="dxa"/>
              <w:end w:w="120" w:type="dxa"/>
            </w:tcMar>
            <w:vAlign w:val="center"/>
            <w:shd w:fill="F4F7F8"/>
          </w:tcPr>
          <w:p>
            <w:r>
              <w:rPr>
                <w:rFonts w:ascii="Arial" w:hAnsi="Arial"/>
                <w:b w:val="0"/>
                <w:i w:val="0"/>
                <w:color w:val="071015"/>
                <w:sz w:val="16"/>
              </w:rPr>
              <w:t>2</w:t>
            </w:r>
          </w:p>
        </w:tc>
        <w:tc>
          <w:tcPr>
            <w:tcW w:type="dxa" w:w="4752"/>
            <w:tcMar>
              <w:top w:w="100" w:type="dxa"/>
              <w:start w:w="120" w:type="dxa"/>
              <w:bottom w:w="100" w:type="dxa"/>
              <w:end w:w="120" w:type="dxa"/>
            </w:tcMar>
            <w:vAlign w:val="center"/>
            <w:shd w:fill="F4F7F8"/>
          </w:tcPr>
          <w:p>
            <w:r>
              <w:rPr>
                <w:rFonts w:ascii="Arial" w:hAnsi="Arial"/>
                <w:b w:val="0"/>
                <w:i w:val="0"/>
                <w:color w:val="071015"/>
                <w:sz w:val="16"/>
              </w:rPr>
              <w:t>Reduction should change the map, not merely improve the prose.</w:t>
            </w:r>
          </w:p>
        </w:tc>
      </w:tr>
      <w:tr>
        <w:trPr>
          <w:cantSplit/>
        </w:trPr>
        <w:tc>
          <w:tcPr>
            <w:tcW w:type="dxa" w:w="1008"/>
            <w:tcMar>
              <w:top w:w="100" w:type="dxa"/>
              <w:start w:w="120" w:type="dxa"/>
              <w:bottom w:w="100" w:type="dxa"/>
              <w:end w:w="120" w:type="dxa"/>
            </w:tcMar>
            <w:vAlign w:val="center"/>
          </w:tcPr>
          <w:p>
            <w:r>
              <w:rPr>
                <w:rFonts w:ascii="Arial" w:hAnsi="Arial"/>
                <w:b/>
                <w:i w:val="0"/>
                <w:color w:val="071015"/>
                <w:sz w:val="16"/>
              </w:rPr>
              <w:t>21</w:t>
            </w:r>
          </w:p>
        </w:tc>
        <w:tc>
          <w:tcPr>
            <w:tcW w:type="dxa" w:w="2736"/>
            <w:tcMar>
              <w:top w:w="100" w:type="dxa"/>
              <w:start w:w="120" w:type="dxa"/>
              <w:bottom w:w="100" w:type="dxa"/>
              <w:end w:w="120" w:type="dxa"/>
            </w:tcMar>
            <w:vAlign w:val="center"/>
          </w:tcPr>
          <w:p>
            <w:r>
              <w:rPr>
                <w:rFonts w:ascii="Arial" w:hAnsi="Arial"/>
                <w:b w:val="0"/>
                <w:i w:val="0"/>
                <w:color w:val="071015"/>
                <w:sz w:val="16"/>
              </w:rPr>
              <w:t>05 / PROVE WHAT REMAINS</w:t>
            </w:r>
          </w:p>
        </w:tc>
        <w:tc>
          <w:tcPr>
            <w:tcW w:type="dxa" w:w="1080"/>
            <w:tcMar>
              <w:top w:w="100" w:type="dxa"/>
              <w:start w:w="120" w:type="dxa"/>
              <w:bottom w:w="100" w:type="dxa"/>
              <w:end w:w="120" w:type="dxa"/>
            </w:tcMar>
            <w:vAlign w:val="center"/>
          </w:tcPr>
          <w:p>
            <w:r>
              <w:rPr>
                <w:rFonts w:ascii="Arial" w:hAnsi="Arial"/>
                <w:b w:val="0"/>
                <w:i w:val="0"/>
                <w:color w:val="071015"/>
                <w:sz w:val="16"/>
              </w:rPr>
              <w:t>2</w:t>
            </w:r>
          </w:p>
        </w:tc>
        <w:tc>
          <w:tcPr>
            <w:tcW w:type="dxa" w:w="4752"/>
            <w:tcMar>
              <w:top w:w="100" w:type="dxa"/>
              <w:start w:w="120" w:type="dxa"/>
              <w:bottom w:w="100" w:type="dxa"/>
              <w:end w:w="120" w:type="dxa"/>
            </w:tcMar>
            <w:vAlign w:val="center"/>
          </w:tcPr>
          <w:p>
            <w:r>
              <w:rPr>
                <w:rFonts w:ascii="Arial" w:hAnsi="Arial"/>
                <w:b w:val="0"/>
                <w:i w:val="0"/>
                <w:color w:val="071015"/>
                <w:sz w:val="16"/>
              </w:rPr>
              <w:t>Proof is the durable bridge between the current architecture and the next reviewer.</w:t>
            </w:r>
          </w:p>
        </w:tc>
      </w:tr>
      <w:tr>
        <w:trPr>
          <w:cantSplit/>
        </w:trPr>
        <w:tc>
          <w:tcPr>
            <w:tcW w:type="dxa" w:w="1008"/>
            <w:tcMar>
              <w:top w:w="100" w:type="dxa"/>
              <w:start w:w="120" w:type="dxa"/>
              <w:bottom w:w="100" w:type="dxa"/>
              <w:end w:w="120" w:type="dxa"/>
            </w:tcMar>
            <w:vAlign w:val="center"/>
            <w:shd w:fill="F4F7F8"/>
          </w:tcPr>
          <w:p>
            <w:r>
              <w:rPr>
                <w:rFonts w:ascii="Arial" w:hAnsi="Arial"/>
                <w:b/>
                <w:i w:val="0"/>
                <w:color w:val="071015"/>
                <w:sz w:val="16"/>
              </w:rPr>
              <w:t>22</w:t>
            </w:r>
          </w:p>
        </w:tc>
        <w:tc>
          <w:tcPr>
            <w:tcW w:type="dxa" w:w="2736"/>
            <w:tcMar>
              <w:top w:w="100" w:type="dxa"/>
              <w:start w:w="120" w:type="dxa"/>
              <w:bottom w:w="100" w:type="dxa"/>
              <w:end w:w="120" w:type="dxa"/>
            </w:tcMar>
            <w:vAlign w:val="center"/>
            <w:shd w:fill="F4F7F8"/>
          </w:tcPr>
          <w:p>
            <w:r>
              <w:rPr>
                <w:rFonts w:ascii="Arial" w:hAnsi="Arial"/>
                <w:b w:val="0"/>
                <w:i w:val="0"/>
                <w:color w:val="071015"/>
                <w:sz w:val="16"/>
              </w:rPr>
              <w:t>THE WAY OUT IS A SHARED STORY THAT CAN BE TESTED.</w:t>
            </w:r>
          </w:p>
        </w:tc>
        <w:tc>
          <w:tcPr>
            <w:tcW w:type="dxa" w:w="1080"/>
            <w:tcMar>
              <w:top w:w="100" w:type="dxa"/>
              <w:start w:w="120" w:type="dxa"/>
              <w:bottom w:w="100" w:type="dxa"/>
              <w:end w:w="120" w:type="dxa"/>
            </w:tcMar>
            <w:vAlign w:val="center"/>
            <w:shd w:fill="F4F7F8"/>
          </w:tcPr>
          <w:p>
            <w:r>
              <w:rPr>
                <w:rFonts w:ascii="Arial" w:hAnsi="Arial"/>
                <w:b w:val="0"/>
                <w:i w:val="0"/>
                <w:color w:val="071015"/>
                <w:sz w:val="16"/>
              </w:rPr>
              <w:t>2</w:t>
            </w:r>
          </w:p>
        </w:tc>
        <w:tc>
          <w:tcPr>
            <w:tcW w:type="dxa" w:w="4752"/>
            <w:tcMar>
              <w:top w:w="100" w:type="dxa"/>
              <w:start w:w="120" w:type="dxa"/>
              <w:bottom w:w="100" w:type="dxa"/>
              <w:end w:w="120" w:type="dxa"/>
            </w:tcMar>
            <w:vAlign w:val="center"/>
            <w:shd w:fill="F4F7F8"/>
          </w:tcPr>
          <w:p>
            <w:r>
              <w:rPr>
                <w:rFonts w:ascii="Arial" w:hAnsi="Arial"/>
                <w:b w:val="0"/>
                <w:i w:val="0"/>
                <w:color w:val="071015"/>
                <w:sz w:val="16"/>
              </w:rPr>
              <w:t>This is the synthesis.</w:t>
            </w:r>
          </w:p>
        </w:tc>
      </w:tr>
      <w:tr>
        <w:trPr>
          <w:cantSplit/>
        </w:trPr>
        <w:tc>
          <w:tcPr>
            <w:tcW w:type="dxa" w:w="1008"/>
            <w:tcMar>
              <w:top w:w="100" w:type="dxa"/>
              <w:start w:w="120" w:type="dxa"/>
              <w:bottom w:w="100" w:type="dxa"/>
              <w:end w:w="120" w:type="dxa"/>
            </w:tcMar>
            <w:vAlign w:val="center"/>
          </w:tcPr>
          <w:p>
            <w:r>
              <w:rPr>
                <w:rFonts w:ascii="Arial" w:hAnsi="Arial"/>
                <w:b/>
                <w:i w:val="0"/>
                <w:color w:val="071015"/>
                <w:sz w:val="16"/>
              </w:rPr>
              <w:t>23</w:t>
            </w:r>
          </w:p>
        </w:tc>
        <w:tc>
          <w:tcPr>
            <w:tcW w:type="dxa" w:w="2736"/>
            <w:tcMar>
              <w:top w:w="100" w:type="dxa"/>
              <w:start w:w="120" w:type="dxa"/>
              <w:bottom w:w="100" w:type="dxa"/>
              <w:end w:w="120" w:type="dxa"/>
            </w:tcMar>
            <w:vAlign w:val="center"/>
          </w:tcPr>
          <w:p>
            <w:r>
              <w:rPr>
                <w:rFonts w:ascii="Arial" w:hAnsi="Arial"/>
                <w:b w:val="0"/>
                <w:i w:val="0"/>
                <w:color w:val="071015"/>
                <w:sz w:val="16"/>
              </w:rPr>
              <w:t>SIX QUESTIONS TO TAKE TO THE NEXT MEETING</w:t>
            </w:r>
          </w:p>
        </w:tc>
        <w:tc>
          <w:tcPr>
            <w:tcW w:type="dxa" w:w="1080"/>
            <w:tcMar>
              <w:top w:w="100" w:type="dxa"/>
              <w:start w:w="120" w:type="dxa"/>
              <w:bottom w:w="100" w:type="dxa"/>
              <w:end w:w="120" w:type="dxa"/>
            </w:tcMar>
            <w:vAlign w:val="center"/>
          </w:tcPr>
          <w:p>
            <w:r>
              <w:rPr>
                <w:rFonts w:ascii="Arial" w:hAnsi="Arial"/>
                <w:b w:val="0"/>
                <w:i w:val="0"/>
                <w:color w:val="071015"/>
                <w:sz w:val="16"/>
              </w:rPr>
              <w:t>2</w:t>
            </w:r>
          </w:p>
        </w:tc>
        <w:tc>
          <w:tcPr>
            <w:tcW w:type="dxa" w:w="4752"/>
            <w:tcMar>
              <w:top w:w="100" w:type="dxa"/>
              <w:start w:w="120" w:type="dxa"/>
              <w:bottom w:w="100" w:type="dxa"/>
              <w:end w:w="120" w:type="dxa"/>
            </w:tcMar>
            <w:vAlign w:val="center"/>
          </w:tcPr>
          <w:p>
            <w:r>
              <w:rPr>
                <w:rFonts w:ascii="Arial" w:hAnsi="Arial"/>
                <w:b w:val="0"/>
                <w:i w:val="0"/>
                <w:color w:val="071015"/>
                <w:sz w:val="16"/>
              </w:rPr>
              <w:t>Read the questions slowly.</w:t>
            </w:r>
          </w:p>
        </w:tc>
      </w:tr>
      <w:tr>
        <w:trPr>
          <w:cantSplit/>
        </w:trPr>
        <w:tc>
          <w:tcPr>
            <w:tcW w:type="dxa" w:w="1008"/>
            <w:tcMar>
              <w:top w:w="100" w:type="dxa"/>
              <w:start w:w="120" w:type="dxa"/>
              <w:bottom w:w="100" w:type="dxa"/>
              <w:end w:w="120" w:type="dxa"/>
            </w:tcMar>
            <w:vAlign w:val="center"/>
            <w:shd w:fill="F4F7F8"/>
          </w:tcPr>
          <w:p>
            <w:r>
              <w:rPr>
                <w:rFonts w:ascii="Arial" w:hAnsi="Arial"/>
                <w:b/>
                <w:i w:val="0"/>
                <w:color w:val="071015"/>
                <w:sz w:val="16"/>
              </w:rPr>
              <w:t>24</w:t>
            </w:r>
          </w:p>
        </w:tc>
        <w:tc>
          <w:tcPr>
            <w:tcW w:type="dxa" w:w="2736"/>
            <w:tcMar>
              <w:top w:w="100" w:type="dxa"/>
              <w:start w:w="120" w:type="dxa"/>
              <w:bottom w:w="100" w:type="dxa"/>
              <w:end w:w="120" w:type="dxa"/>
            </w:tcMar>
            <w:vAlign w:val="center"/>
            <w:shd w:fill="F4F7F8"/>
          </w:tcPr>
          <w:p>
            <w:r>
              <w:rPr>
                <w:rFonts w:ascii="Arial" w:hAnsi="Arial"/>
                <w:b w:val="0"/>
                <w:i w:val="0"/>
                <w:color w:val="071015"/>
                <w:sz w:val="16"/>
              </w:rPr>
              <w:t>FIND. MAP. EXPLAIN. REDUCE. PROVE.</w:t>
            </w:r>
          </w:p>
        </w:tc>
        <w:tc>
          <w:tcPr>
            <w:tcW w:type="dxa" w:w="1080"/>
            <w:tcMar>
              <w:top w:w="100" w:type="dxa"/>
              <w:start w:w="120" w:type="dxa"/>
              <w:bottom w:w="100" w:type="dxa"/>
              <w:end w:w="120" w:type="dxa"/>
            </w:tcMar>
            <w:vAlign w:val="center"/>
            <w:shd w:fill="F4F7F8"/>
          </w:tcPr>
          <w:p>
            <w:r>
              <w:rPr>
                <w:rFonts w:ascii="Arial" w:hAnsi="Arial"/>
                <w:b w:val="0"/>
                <w:i w:val="0"/>
                <w:color w:val="071015"/>
                <w:sz w:val="16"/>
              </w:rPr>
              <w:t>1</w:t>
            </w:r>
          </w:p>
        </w:tc>
        <w:tc>
          <w:tcPr>
            <w:tcW w:type="dxa" w:w="4752"/>
            <w:tcMar>
              <w:top w:w="100" w:type="dxa"/>
              <w:start w:w="120" w:type="dxa"/>
              <w:bottom w:w="100" w:type="dxa"/>
              <w:end w:w="120" w:type="dxa"/>
            </w:tcMar>
            <w:vAlign w:val="center"/>
            <w:shd w:fill="F4F7F8"/>
          </w:tcPr>
          <w:p>
            <w:r>
              <w:rPr>
                <w:rFonts w:ascii="Arial" w:hAnsi="Arial"/>
                <w:b w:val="0"/>
                <w:i w:val="0"/>
                <w:color w:val="071015"/>
                <w:sz w:val="16"/>
              </w:rPr>
              <w:t>End on the method rather than a generic thank-you slide.</w:t>
            </w:r>
          </w:p>
        </w:tc>
      </w:tr>
    </w:tbl>
    <w:p>
      <w:r>
        <w:br w:type="page"/>
      </w:r>
    </w:p>
    <w:p>
      <w:pPr>
        <w:pStyle w:val="Heading1"/>
      </w:pPr>
      <w:r>
        <w:t>Slide-by-slide talk track</w:t>
      </w:r>
    </w:p>
    <w:p>
      <w:pPr>
        <w:keepNext/>
        <w:spacing w:before="100" w:after="0"/>
      </w:pPr>
      <w:r>
        <w:rPr>
          <w:rFonts w:ascii="Arial" w:hAnsi="Arial"/>
          <w:b w:val="0"/>
          <w:i w:val="0"/>
          <w:color w:val="FFFFFF"/>
          <w:sz w:val="2"/>
        </w:rPr>
        <w:t xml:space="preserve"> </w:t>
      </w:r>
    </w:p>
    <w:tbl>
      <w:tblPr>
        <w:tblW w:type="auto" w:w="0"/>
        <w:jc w:val="left"/>
        <w:tblLayout w:type="fixed"/>
        <w:tblLook w:firstColumn="1" w:firstRow="1" w:lastColumn="0" w:lastRow="0" w:noHBand="0" w:noVBand="1" w:val="04A0"/>
      </w:tblPr>
      <w:tblGrid>
        <w:gridCol w:w="9576"/>
      </w:tblGrid>
      <w:tr>
        <w:trPr>
          <w:cantSplit/>
        </w:trPr>
        <w:tc>
          <w:tcPr>
            <w:tcW w:type="dxa" w:w="9576"/>
            <w:tcMar>
              <w:top w:w="150" w:type="dxa"/>
              <w:start w:w="170" w:type="dxa"/>
              <w:bottom w:w="150" w:type="dxa"/>
              <w:end w:w="170" w:type="dxa"/>
            </w:tcMar>
            <w:shd w:fill="F7F9FA"/>
          </w:tcPr>
          <w:p>
            <w:pPr>
              <w:pStyle w:val="Heading2"/>
              <w:spacing w:before="0"/>
            </w:pPr>
            <w:r>
              <w:rPr>
                <w:rFonts w:ascii="Impact" w:hAnsi="Impact"/>
                <w:b w:val="0"/>
                <w:i w:val="0"/>
                <w:color w:val="FF882B"/>
                <w:sz w:val="28"/>
              </w:rPr>
              <w:t>01 / THE CLUSTER OF WACK</w:t>
            </w:r>
          </w:p>
          <w:p>
            <w:pPr>
              <w:spacing w:after="120"/>
            </w:pPr>
            <w:r>
              <w:rPr>
                <w:rFonts w:ascii="Arial" w:hAnsi="Arial"/>
                <w:b/>
                <w:i w:val="0"/>
                <w:color w:val="FF882B"/>
                <w:sz w:val="17"/>
              </w:rPr>
              <w:t xml:space="preserve">Timing: 1 minute. </w:t>
            </w:r>
            <w:r>
              <w:rPr>
                <w:rFonts w:ascii="Arial" w:hAnsi="Arial"/>
                <w:b w:val="0"/>
                <w:i w:val="0"/>
                <w:color w:val="52646B"/>
                <w:sz w:val="17"/>
              </w:rPr>
              <w:t>Slide job: title.</w:t>
            </w:r>
          </w:p>
          <w:p>
            <w:pPr>
              <w:spacing w:after="120"/>
            </w:pPr>
            <w:r>
              <w:t>Welcome the room and establish the tone: this is affectionate practitioner shorthand for a serious operating problem. The session is not a new framework, an assessment shortcut, or official PCI SSC terminology. It is a way to name the moment when architecture, ownership, scope, and evidence stop telling the same story.</w:t>
            </w:r>
          </w:p>
          <w:p>
            <w:pPr>
              <w:spacing w:after="0"/>
            </w:pPr>
            <w:r>
              <w:rPr>
                <w:rFonts w:ascii="Arial" w:hAnsi="Arial"/>
                <w:b/>
                <w:i w:val="0"/>
                <w:color w:val="11C7B6"/>
                <w:sz w:val="18"/>
              </w:rPr>
              <w:t xml:space="preserve">Transition: </w:t>
            </w:r>
            <w:r>
              <w:rPr>
                <w:rFonts w:ascii="Arial" w:hAnsi="Arial"/>
                <w:b w:val="0"/>
                <w:i/>
                <w:color w:val="071015"/>
                <w:sz w:val="18"/>
              </w:rPr>
              <w:t>Start with a scene almost everyone in the room has experienced.</w:t>
            </w:r>
          </w:p>
        </w:tc>
      </w:tr>
    </w:tbl>
    <w:p>
      <w:pPr>
        <w:keepNext/>
        <w:spacing w:before="100" w:after="0"/>
      </w:pPr>
      <w:r>
        <w:rPr>
          <w:rFonts w:ascii="Arial" w:hAnsi="Arial"/>
          <w:b w:val="0"/>
          <w:i w:val="0"/>
          <w:color w:val="FFFFFF"/>
          <w:sz w:val="2"/>
        </w:rPr>
        <w:t xml:space="preserve"> </w:t>
      </w:r>
    </w:p>
    <w:tbl>
      <w:tblPr>
        <w:tblW w:type="auto" w:w="0"/>
        <w:jc w:val="left"/>
        <w:tblLayout w:type="fixed"/>
        <w:tblLook w:firstColumn="1" w:firstRow="1" w:lastColumn="0" w:lastRow="0" w:noHBand="0" w:noVBand="1" w:val="04A0"/>
      </w:tblPr>
      <w:tblGrid>
        <w:gridCol w:w="9576"/>
      </w:tblGrid>
      <w:tr>
        <w:trPr>
          <w:cantSplit/>
        </w:trPr>
        <w:tc>
          <w:tcPr>
            <w:tcW w:type="dxa" w:w="9576"/>
            <w:tcMar>
              <w:top w:w="150" w:type="dxa"/>
              <w:start w:w="170" w:type="dxa"/>
              <w:bottom w:w="150" w:type="dxa"/>
              <w:end w:w="170" w:type="dxa"/>
            </w:tcMar>
            <w:shd w:fill="F7F9FA"/>
          </w:tcPr>
          <w:p>
            <w:pPr>
              <w:pStyle w:val="Heading2"/>
              <w:spacing w:before="0"/>
            </w:pPr>
            <w:r>
              <w:rPr>
                <w:rFonts w:ascii="Impact" w:hAnsi="Impact"/>
                <w:b w:val="0"/>
                <w:i w:val="0"/>
                <w:color w:val="FF882B"/>
                <w:sz w:val="28"/>
              </w:rPr>
              <w:t>02 / ONE WEIRD THING IS A FINDING.</w:t>
            </w:r>
          </w:p>
          <w:p>
            <w:pPr>
              <w:spacing w:after="120"/>
            </w:pPr>
            <w:r>
              <w:rPr>
                <w:rFonts w:ascii="Arial" w:hAnsi="Arial"/>
                <w:b/>
                <w:i w:val="0"/>
                <w:color w:val="FF882B"/>
                <w:sz w:val="17"/>
              </w:rPr>
              <w:t xml:space="preserve">Timing: 1 minute. </w:t>
            </w:r>
            <w:r>
              <w:rPr>
                <w:rFonts w:ascii="Arial" w:hAnsi="Arial"/>
                <w:b w:val="0"/>
                <w:i w:val="0"/>
                <w:color w:val="52646B"/>
                <w:sz w:val="17"/>
              </w:rPr>
              <w:t>Slide job: quote.</w:t>
            </w:r>
          </w:p>
          <w:p>
            <w:pPr>
              <w:spacing w:after="120"/>
            </w:pPr>
            <w:r>
              <w:t>Let the room laugh, then make the point. The difficult environments are rarely created by one spectacularly bad decision. They emerge from many reasonable local decisions whose combined effect was never reviewed. Ask for a show of hands: who has heard a scope explanation begin with 'Well, historically...' this year?</w:t>
            </w:r>
          </w:p>
          <w:p>
            <w:pPr>
              <w:spacing w:after="60"/>
            </w:pPr>
            <w:r>
              <w:rPr>
                <w:rFonts w:ascii="Arial" w:hAnsi="Arial"/>
                <w:b/>
                <w:i w:val="0"/>
                <w:color w:val="FF882B"/>
                <w:sz w:val="16"/>
              </w:rPr>
              <w:t>AUDIENCE PROMPT</w:t>
            </w:r>
          </w:p>
          <w:p>
            <w:pPr>
              <w:shd w:fill="E9F8F6"/>
              <w:spacing w:before="80" w:after="140"/>
              <w:ind w:left="173" w:right="173"/>
            </w:pPr>
            <w:r>
              <w:rPr>
                <w:rFonts w:ascii="Arial" w:hAnsi="Arial"/>
                <w:b/>
                <w:i w:val="0"/>
                <w:color w:val="071015"/>
                <w:sz w:val="21"/>
              </w:rPr>
              <w:t>What phrase tells you an architecture explanation is about to get interesting?</w:t>
            </w:r>
          </w:p>
          <w:p>
            <w:pPr>
              <w:spacing w:after="0"/>
            </w:pPr>
            <w:r>
              <w:rPr>
                <w:rFonts w:ascii="Arial" w:hAnsi="Arial"/>
                <w:b/>
                <w:i w:val="0"/>
                <w:color w:val="11C7B6"/>
                <w:sz w:val="18"/>
              </w:rPr>
              <w:t xml:space="preserve">Transition: </w:t>
            </w:r>
            <w:r>
              <w:rPr>
                <w:rFonts w:ascii="Arial" w:hAnsi="Arial"/>
                <w:b w:val="0"/>
                <w:i/>
                <w:color w:val="071015"/>
                <w:sz w:val="18"/>
              </w:rPr>
              <w:t>The joke works because it describes an accumulation problem.</w:t>
            </w:r>
          </w:p>
        </w:tc>
      </w:tr>
    </w:tbl>
    <w:p>
      <w:pPr>
        <w:keepNext/>
        <w:spacing w:before="100" w:after="0"/>
      </w:pPr>
      <w:r>
        <w:rPr>
          <w:rFonts w:ascii="Arial" w:hAnsi="Arial"/>
          <w:b w:val="0"/>
          <w:i w:val="0"/>
          <w:color w:val="FFFFFF"/>
          <w:sz w:val="2"/>
        </w:rPr>
        <w:t xml:space="preserve"> </w:t>
      </w:r>
    </w:p>
    <w:tbl>
      <w:tblPr>
        <w:tblW w:type="auto" w:w="0"/>
        <w:jc w:val="left"/>
        <w:tblLayout w:type="fixed"/>
        <w:tblLook w:firstColumn="1" w:firstRow="1" w:lastColumn="0" w:lastRow="0" w:noHBand="0" w:noVBand="1" w:val="04A0"/>
      </w:tblPr>
      <w:tblGrid>
        <w:gridCol w:w="9576"/>
      </w:tblGrid>
      <w:tr>
        <w:trPr>
          <w:cantSplit/>
        </w:trPr>
        <w:tc>
          <w:tcPr>
            <w:tcW w:type="dxa" w:w="9576"/>
            <w:tcMar>
              <w:top w:w="150" w:type="dxa"/>
              <w:start w:w="170" w:type="dxa"/>
              <w:bottom w:w="150" w:type="dxa"/>
              <w:end w:w="170" w:type="dxa"/>
            </w:tcMar>
            <w:shd w:fill="F7F9FA"/>
          </w:tcPr>
          <w:p>
            <w:pPr>
              <w:pStyle w:val="Heading2"/>
              <w:spacing w:before="0"/>
            </w:pPr>
            <w:r>
              <w:rPr>
                <w:rFonts w:ascii="Impact" w:hAnsi="Impact"/>
                <w:b w:val="0"/>
                <w:i w:val="0"/>
                <w:color w:val="FF882B"/>
                <w:sz w:val="28"/>
              </w:rPr>
              <w:t>03 / COMPLEXITY IS NOT THE SAME AS WACK.</w:t>
            </w:r>
          </w:p>
          <w:p>
            <w:pPr>
              <w:spacing w:after="120"/>
            </w:pPr>
            <w:r>
              <w:rPr>
                <w:rFonts w:ascii="Arial" w:hAnsi="Arial"/>
                <w:b/>
                <w:i w:val="0"/>
                <w:color w:val="FF882B"/>
                <w:sz w:val="17"/>
              </w:rPr>
              <w:t xml:space="preserve">Timing: 1 minute. </w:t>
            </w:r>
            <w:r>
              <w:rPr>
                <w:rFonts w:ascii="Arial" w:hAnsi="Arial"/>
                <w:b w:val="0"/>
                <w:i w:val="0"/>
                <w:color w:val="52646B"/>
                <w:sz w:val="17"/>
              </w:rPr>
              <w:t>Slide job: definition.</w:t>
            </w:r>
          </w:p>
          <w:p>
            <w:pPr>
              <w:spacing w:after="120"/>
            </w:pPr>
            <w:r>
              <w:t>Do not frame complicated technology as inherently deficient. A large distributed environment may be well controlled. The diagnostic concern is the loss of a shared and testable explanation: teams cannot agree what touches what, who owns the relationship, which requirements depend on it, or what evidence proves the operating claim.</w:t>
            </w:r>
          </w:p>
          <w:p>
            <w:pPr>
              <w:spacing w:after="0"/>
            </w:pPr>
            <w:r>
              <w:rPr>
                <w:rFonts w:ascii="Arial" w:hAnsi="Arial"/>
                <w:b/>
                <w:i w:val="0"/>
                <w:color w:val="11C7B6"/>
                <w:sz w:val="18"/>
              </w:rPr>
              <w:t xml:space="preserve">Transition: </w:t>
            </w:r>
            <w:r>
              <w:rPr>
                <w:rFonts w:ascii="Arial" w:hAnsi="Arial"/>
                <w:b w:val="0"/>
                <w:i/>
                <w:color w:val="071015"/>
                <w:sz w:val="18"/>
              </w:rPr>
              <w:t>That gives us a working definition.</w:t>
            </w:r>
          </w:p>
        </w:tc>
      </w:tr>
    </w:tbl>
    <w:p>
      <w:pPr>
        <w:keepNext/>
        <w:spacing w:before="100" w:after="0"/>
      </w:pPr>
      <w:r>
        <w:rPr>
          <w:rFonts w:ascii="Arial" w:hAnsi="Arial"/>
          <w:b w:val="0"/>
          <w:i w:val="0"/>
          <w:color w:val="FFFFFF"/>
          <w:sz w:val="2"/>
        </w:rPr>
        <w:t xml:space="preserve"> </w:t>
      </w:r>
    </w:p>
    <w:tbl>
      <w:tblPr>
        <w:tblW w:type="auto" w:w="0"/>
        <w:jc w:val="left"/>
        <w:tblLayout w:type="fixed"/>
        <w:tblLook w:firstColumn="1" w:firstRow="1" w:lastColumn="0" w:lastRow="0" w:noHBand="0" w:noVBand="1" w:val="04A0"/>
      </w:tblPr>
      <w:tblGrid>
        <w:gridCol w:w="9576"/>
      </w:tblGrid>
      <w:tr>
        <w:trPr>
          <w:cantSplit/>
        </w:trPr>
        <w:tc>
          <w:tcPr>
            <w:tcW w:type="dxa" w:w="9576"/>
            <w:tcMar>
              <w:top w:w="150" w:type="dxa"/>
              <w:start w:w="170" w:type="dxa"/>
              <w:bottom w:w="150" w:type="dxa"/>
              <w:end w:w="170" w:type="dxa"/>
            </w:tcMar>
            <w:shd w:fill="F7F9FA"/>
          </w:tcPr>
          <w:p>
            <w:pPr>
              <w:pStyle w:val="Heading2"/>
              <w:spacing w:before="0"/>
            </w:pPr>
            <w:r>
              <w:rPr>
                <w:rFonts w:ascii="Impact" w:hAnsi="Impact"/>
                <w:b w:val="0"/>
                <w:i w:val="0"/>
                <w:color w:val="FF882B"/>
                <w:sz w:val="28"/>
              </w:rPr>
              <w:t>04 / THE WORKING DEFINITION</w:t>
            </w:r>
          </w:p>
          <w:p>
            <w:pPr>
              <w:spacing w:after="120"/>
            </w:pPr>
            <w:r>
              <w:rPr>
                <w:rFonts w:ascii="Arial" w:hAnsi="Arial"/>
                <w:b/>
                <w:i w:val="0"/>
                <w:color w:val="FF882B"/>
                <w:sz w:val="17"/>
              </w:rPr>
              <w:t xml:space="preserve">Timing: 1 minute. </w:t>
            </w:r>
            <w:r>
              <w:rPr>
                <w:rFonts w:ascii="Arial" w:hAnsi="Arial"/>
                <w:b w:val="0"/>
                <w:i w:val="0"/>
                <w:color w:val="52646B"/>
                <w:sz w:val="17"/>
              </w:rPr>
              <w:t>Slide job: formula.</w:t>
            </w:r>
          </w:p>
          <w:p>
            <w:pPr>
              <w:spacing w:after="120"/>
            </w:pPr>
            <w:r>
              <w:t>Walk through the terms quickly. None is automatically a finding. Each becomes dangerous when it prevents the team from forming one coherent control story. Emphasize that this vocabulary is designed to expose questions, not manufacture conclusions.</w:t>
            </w:r>
          </w:p>
          <w:p>
            <w:pPr>
              <w:spacing w:after="0"/>
            </w:pPr>
            <w:r>
              <w:rPr>
                <w:rFonts w:ascii="Arial" w:hAnsi="Arial"/>
                <w:b/>
                <w:i w:val="0"/>
                <w:color w:val="11C7B6"/>
                <w:sz w:val="18"/>
              </w:rPr>
              <w:t xml:space="preserve">Transition: </w:t>
            </w:r>
            <w:r>
              <w:rPr>
                <w:rFonts w:ascii="Arial" w:hAnsi="Arial"/>
                <w:b w:val="0"/>
                <w:i/>
                <w:color w:val="071015"/>
                <w:sz w:val="18"/>
              </w:rPr>
              <w:t>The fastest way to see the definition is through its recurring signals.</w:t>
            </w:r>
          </w:p>
        </w:tc>
      </w:tr>
    </w:tbl>
    <w:p>
      <w:pPr>
        <w:sectPr>
          <w:headerReference w:type="default" r:id="rId9"/>
          <w:footerReference w:type="default" r:id="rId10"/>
          <w:pgSz w:w="12240" w:h="15840"/>
          <w:pgMar w:top="1037" w:right="1238" w:bottom="1008" w:left="1238" w:header="432" w:footer="432" w:gutter="0"/>
          <w:cols w:space="720"/>
          <w:docGrid w:linePitch="360"/>
        </w:sectPr>
      </w:pPr>
    </w:p>
    <w:p>
      <w:pPr>
        <w:keepNext/>
        <w:spacing w:before="100" w:after="0"/>
      </w:pPr>
      <w:r>
        <w:rPr>
          <w:rFonts w:ascii="Arial" w:hAnsi="Arial"/>
          <w:b w:val="0"/>
          <w:i w:val="0"/>
          <w:color w:val="FFFFFF"/>
          <w:sz w:val="2"/>
        </w:rPr>
        <w:t xml:space="preserve"> </w:t>
      </w:r>
    </w:p>
    <w:tbl>
      <w:tblPr>
        <w:tblW w:type="auto" w:w="0"/>
        <w:jc w:val="left"/>
        <w:tblLayout w:type="fixed"/>
        <w:tblLook w:firstColumn="1" w:firstRow="1" w:lastColumn="0" w:lastRow="0" w:noHBand="0" w:noVBand="1" w:val="04A0"/>
      </w:tblPr>
      <w:tblGrid>
        <w:gridCol w:w="9576"/>
      </w:tblGrid>
      <w:tr>
        <w:trPr>
          <w:cantSplit/>
        </w:trPr>
        <w:tc>
          <w:tcPr>
            <w:tcW w:type="dxa" w:w="9576"/>
            <w:tcMar>
              <w:top w:w="150" w:type="dxa"/>
              <w:start w:w="170" w:type="dxa"/>
              <w:bottom w:w="150" w:type="dxa"/>
              <w:end w:w="170" w:type="dxa"/>
            </w:tcMar>
            <w:shd w:fill="F7F9FA"/>
          </w:tcPr>
          <w:p>
            <w:pPr>
              <w:pStyle w:val="Heading2"/>
              <w:spacing w:before="0"/>
            </w:pPr>
            <w:r>
              <w:rPr>
                <w:rFonts w:ascii="Impact" w:hAnsi="Impact"/>
                <w:b w:val="0"/>
                <w:i w:val="0"/>
                <w:color w:val="FF882B"/>
                <w:sz w:val="28"/>
              </w:rPr>
              <w:t>05 / THE SENTENCES THAT SUMMON THE WACK</w:t>
            </w:r>
          </w:p>
          <w:p>
            <w:pPr>
              <w:spacing w:after="120"/>
            </w:pPr>
            <w:r>
              <w:rPr>
                <w:rFonts w:ascii="Arial" w:hAnsi="Arial"/>
                <w:b/>
                <w:i w:val="0"/>
                <w:color w:val="FF882B"/>
                <w:sz w:val="17"/>
              </w:rPr>
              <w:t xml:space="preserve">Timing: 1 minute. </w:t>
            </w:r>
            <w:r>
              <w:rPr>
                <w:rFonts w:ascii="Arial" w:hAnsi="Arial"/>
                <w:b w:val="0"/>
                <w:i w:val="0"/>
                <w:color w:val="52646B"/>
                <w:sz w:val="17"/>
              </w:rPr>
              <w:t>Slide job: signals.</w:t>
            </w:r>
          </w:p>
          <w:p>
            <w:pPr>
              <w:spacing w:after="120"/>
            </w:pPr>
            <w:r>
              <w:t>Read these as diagnostic triggers, not punchlines aimed at a team. Every sentence contains a potentially valid fact and an invitation to ask for the missing relationship. The method works because it turns sarcasm into a useful follow-up question.</w:t>
            </w:r>
          </w:p>
          <w:p>
            <w:pPr>
              <w:spacing w:after="60"/>
            </w:pPr>
            <w:r>
              <w:rPr>
                <w:rFonts w:ascii="Arial" w:hAnsi="Arial"/>
                <w:b/>
                <w:i w:val="0"/>
                <w:color w:val="FF882B"/>
                <w:sz w:val="16"/>
              </w:rPr>
              <w:t>AUDIENCE PROMPT</w:t>
            </w:r>
          </w:p>
          <w:p>
            <w:pPr>
              <w:shd w:fill="E9F8F6"/>
              <w:spacing w:before="80" w:after="140"/>
              <w:ind w:left="173" w:right="173"/>
            </w:pPr>
            <w:r>
              <w:rPr>
                <w:rFonts w:ascii="Arial" w:hAnsi="Arial"/>
                <w:b/>
                <w:i w:val="0"/>
                <w:color w:val="071015"/>
                <w:sz w:val="21"/>
              </w:rPr>
              <w:t>Which sentence consumes the most assessment time in your environment?</w:t>
            </w:r>
          </w:p>
          <w:p>
            <w:pPr>
              <w:spacing w:after="0"/>
            </w:pPr>
            <w:r>
              <w:rPr>
                <w:rFonts w:ascii="Arial" w:hAnsi="Arial"/>
                <w:b/>
                <w:i w:val="0"/>
                <w:color w:val="11C7B6"/>
                <w:sz w:val="18"/>
              </w:rPr>
              <w:t xml:space="preserve">Transition: </w:t>
            </w:r>
            <w:r>
              <w:rPr>
                <w:rFonts w:ascii="Arial" w:hAnsi="Arial"/>
                <w:b w:val="0"/>
                <w:i/>
                <w:color w:val="071015"/>
                <w:sz w:val="18"/>
              </w:rPr>
              <w:t>The Wacktionary gives those recurring patterns handles.</w:t>
            </w:r>
          </w:p>
        </w:tc>
      </w:tr>
    </w:tbl>
    <w:p>
      <w:pPr>
        <w:keepNext/>
        <w:spacing w:before="100" w:after="0"/>
      </w:pPr>
      <w:r>
        <w:rPr>
          <w:rFonts w:ascii="Arial" w:hAnsi="Arial"/>
          <w:b w:val="0"/>
          <w:i w:val="0"/>
          <w:color w:val="FFFFFF"/>
          <w:sz w:val="2"/>
        </w:rPr>
        <w:t xml:space="preserve"> </w:t>
      </w:r>
    </w:p>
    <w:tbl>
      <w:tblPr>
        <w:tblW w:type="auto" w:w="0"/>
        <w:jc w:val="left"/>
        <w:tblLayout w:type="fixed"/>
        <w:tblLook w:firstColumn="1" w:firstRow="1" w:lastColumn="0" w:lastRow="0" w:noHBand="0" w:noVBand="1" w:val="04A0"/>
      </w:tblPr>
      <w:tblGrid>
        <w:gridCol w:w="9576"/>
      </w:tblGrid>
      <w:tr>
        <w:trPr>
          <w:cantSplit/>
        </w:trPr>
        <w:tc>
          <w:tcPr>
            <w:tcW w:type="dxa" w:w="9576"/>
            <w:tcMar>
              <w:top w:w="150" w:type="dxa"/>
              <w:start w:w="170" w:type="dxa"/>
              <w:bottom w:w="150" w:type="dxa"/>
              <w:end w:w="170" w:type="dxa"/>
            </w:tcMar>
            <w:shd w:fill="F7F9FA"/>
          </w:tcPr>
          <w:p>
            <w:pPr>
              <w:pStyle w:val="Heading2"/>
              <w:spacing w:before="0"/>
            </w:pPr>
            <w:r>
              <w:rPr>
                <w:rFonts w:ascii="Impact" w:hAnsi="Impact"/>
                <w:b w:val="0"/>
                <w:i w:val="0"/>
                <w:color w:val="FF882B"/>
                <w:sz w:val="28"/>
              </w:rPr>
              <w:t>06 / A MEMORABLE TERM SHOULD EARN ITS KEEP.</w:t>
            </w:r>
          </w:p>
          <w:p>
            <w:pPr>
              <w:spacing w:after="120"/>
            </w:pPr>
            <w:r>
              <w:rPr>
                <w:rFonts w:ascii="Arial" w:hAnsi="Arial"/>
                <w:b/>
                <w:i w:val="0"/>
                <w:color w:val="FF882B"/>
                <w:sz w:val="17"/>
              </w:rPr>
              <w:t xml:space="preserve">Timing: 2 minutes. </w:t>
            </w:r>
            <w:r>
              <w:rPr>
                <w:rFonts w:ascii="Arial" w:hAnsi="Arial"/>
                <w:b w:val="0"/>
                <w:i w:val="0"/>
                <w:color w:val="52646B"/>
                <w:sz w:val="17"/>
              </w:rPr>
              <w:t>Slide job: vocabulary.</w:t>
            </w:r>
          </w:p>
          <w:p>
            <w:pPr>
              <w:spacing w:after="120"/>
            </w:pPr>
            <w:r>
              <w:t>These terms are useful only when they improve a real conversation. Give one sentence for each and avoid teaching the entire twenty-term catalog. The goal is to show how a playful label can help a mixed technical and governance group identify the same condition quickly.</w:t>
            </w:r>
          </w:p>
          <w:p>
            <w:pPr>
              <w:spacing w:after="0"/>
            </w:pPr>
            <w:r>
              <w:rPr>
                <w:rFonts w:ascii="Arial" w:hAnsi="Arial"/>
                <w:b/>
                <w:i w:val="0"/>
                <w:color w:val="11C7B6"/>
                <w:sz w:val="18"/>
              </w:rPr>
              <w:t xml:space="preserve">Transition: </w:t>
            </w:r>
            <w:r>
              <w:rPr>
                <w:rFonts w:ascii="Arial" w:hAnsi="Arial"/>
                <w:b w:val="0"/>
                <w:i/>
                <w:color w:val="071015"/>
                <w:sz w:val="18"/>
              </w:rPr>
              <w:t>Now open the first case file.</w:t>
            </w:r>
          </w:p>
        </w:tc>
      </w:tr>
    </w:tbl>
    <w:p>
      <w:pPr>
        <w:keepNext/>
        <w:spacing w:before="100" w:after="0"/>
      </w:pPr>
      <w:r>
        <w:rPr>
          <w:rFonts w:ascii="Arial" w:hAnsi="Arial"/>
          <w:b w:val="0"/>
          <w:i w:val="0"/>
          <w:color w:val="FFFFFF"/>
          <w:sz w:val="2"/>
        </w:rPr>
        <w:t xml:space="preserve"> </w:t>
      </w:r>
    </w:p>
    <w:tbl>
      <w:tblPr>
        <w:tblW w:type="auto" w:w="0"/>
        <w:jc w:val="left"/>
        <w:tblLayout w:type="fixed"/>
        <w:tblLook w:firstColumn="1" w:firstRow="1" w:lastColumn="0" w:lastRow="0" w:noHBand="0" w:noVBand="1" w:val="04A0"/>
      </w:tblPr>
      <w:tblGrid>
        <w:gridCol w:w="9576"/>
      </w:tblGrid>
      <w:tr>
        <w:trPr>
          <w:cantSplit/>
        </w:trPr>
        <w:tc>
          <w:tcPr>
            <w:tcW w:type="dxa" w:w="9576"/>
            <w:tcMar>
              <w:top w:w="150" w:type="dxa"/>
              <w:start w:w="170" w:type="dxa"/>
              <w:bottom w:w="150" w:type="dxa"/>
              <w:end w:w="170" w:type="dxa"/>
            </w:tcMar>
            <w:shd w:fill="F7F9FA"/>
          </w:tcPr>
          <w:p>
            <w:pPr>
              <w:pStyle w:val="Heading2"/>
              <w:spacing w:before="0"/>
            </w:pPr>
            <w:r>
              <w:rPr>
                <w:rFonts w:ascii="Impact" w:hAnsi="Impact"/>
                <w:b w:val="0"/>
                <w:i w:val="0"/>
                <w:color w:val="FF882B"/>
                <w:sz w:val="28"/>
              </w:rPr>
              <w:t>07 / OUT OF SCOPE ON MONDAY. PATCHING THE CDE ON TUESDAY.</w:t>
            </w:r>
          </w:p>
          <w:p>
            <w:pPr>
              <w:spacing w:after="120"/>
            </w:pPr>
            <w:r>
              <w:rPr>
                <w:rFonts w:ascii="Arial" w:hAnsi="Arial"/>
                <w:b/>
                <w:i w:val="0"/>
                <w:color w:val="FF882B"/>
                <w:sz w:val="17"/>
              </w:rPr>
              <w:t xml:space="preserve">Timing: 3 minutes. </w:t>
            </w:r>
            <w:r>
              <w:rPr>
                <w:rFonts w:ascii="Arial" w:hAnsi="Arial"/>
                <w:b w:val="0"/>
                <w:i w:val="0"/>
                <w:color w:val="52646B"/>
                <w:sz w:val="17"/>
              </w:rPr>
              <w:t>Slide job: case.</w:t>
            </w:r>
          </w:p>
          <w:p>
            <w:pPr>
              <w:spacing w:after="120"/>
            </w:pPr>
            <w:r>
              <w:t>Tell the cold open. A corporate utility stored no payment data and appeared outside the boundary. During a routine patching demonstration, the team used it to administer in-scope systems. No one was concealing the relationship; the scope explanation had simply frozen around data location while operational reach continued to evolve.</w:t>
            </w:r>
          </w:p>
          <w:p>
            <w:pPr>
              <w:spacing w:after="0"/>
            </w:pPr>
            <w:r>
              <w:rPr>
                <w:rFonts w:ascii="Arial" w:hAnsi="Arial"/>
                <w:b/>
                <w:i w:val="0"/>
                <w:color w:val="11C7B6"/>
                <w:sz w:val="18"/>
              </w:rPr>
              <w:t xml:space="preserve">Transition: </w:t>
            </w:r>
            <w:r>
              <w:rPr>
                <w:rFonts w:ascii="Arial" w:hAnsi="Arial"/>
                <w:b w:val="0"/>
                <w:i/>
                <w:color w:val="071015"/>
                <w:sz w:val="18"/>
              </w:rPr>
              <w:t>The observed workflow did not automatically determine scope, but it made the current rationale incomplete.</w:t>
            </w:r>
          </w:p>
        </w:tc>
      </w:tr>
    </w:tbl>
    <w:p>
      <w:pPr>
        <w:keepNext/>
        <w:spacing w:before="100" w:after="0"/>
      </w:pPr>
      <w:r>
        <w:rPr>
          <w:rFonts w:ascii="Arial" w:hAnsi="Arial"/>
          <w:b w:val="0"/>
          <w:i w:val="0"/>
          <w:color w:val="FFFFFF"/>
          <w:sz w:val="2"/>
        </w:rPr>
        <w:t xml:space="preserve"> </w:t>
      </w:r>
    </w:p>
    <w:tbl>
      <w:tblPr>
        <w:tblW w:type="auto" w:w="0"/>
        <w:jc w:val="left"/>
        <w:tblLayout w:type="fixed"/>
        <w:tblLook w:firstColumn="1" w:firstRow="1" w:lastColumn="0" w:lastRow="0" w:noHBand="0" w:noVBand="1" w:val="04A0"/>
      </w:tblPr>
      <w:tblGrid>
        <w:gridCol w:w="9576"/>
      </w:tblGrid>
      <w:tr>
        <w:trPr>
          <w:cantSplit/>
        </w:trPr>
        <w:tc>
          <w:tcPr>
            <w:tcW w:type="dxa" w:w="9576"/>
            <w:tcMar>
              <w:top w:w="150" w:type="dxa"/>
              <w:start w:w="170" w:type="dxa"/>
              <w:bottom w:w="150" w:type="dxa"/>
              <w:end w:w="170" w:type="dxa"/>
            </w:tcMar>
            <w:shd w:fill="F7F9FA"/>
          </w:tcPr>
          <w:p>
            <w:pPr>
              <w:pStyle w:val="Heading2"/>
              <w:spacing w:before="0"/>
            </w:pPr>
            <w:r>
              <w:rPr>
                <w:rFonts w:ascii="Impact" w:hAnsi="Impact"/>
                <w:b w:val="0"/>
                <w:i w:val="0"/>
                <w:color w:val="FF882B"/>
                <w:sz w:val="28"/>
              </w:rPr>
              <w:t>08 / WHAT CHANGED ON PATCH TUESDAY?</w:t>
            </w:r>
          </w:p>
          <w:p>
            <w:pPr>
              <w:spacing w:after="120"/>
            </w:pPr>
            <w:r>
              <w:rPr>
                <w:rFonts w:ascii="Arial" w:hAnsi="Arial"/>
                <w:b/>
                <w:i w:val="0"/>
                <w:color w:val="FF882B"/>
                <w:sz w:val="17"/>
              </w:rPr>
              <w:t xml:space="preserve">Timing: 1 minute. </w:t>
            </w:r>
            <w:r>
              <w:rPr>
                <w:rFonts w:ascii="Arial" w:hAnsi="Arial"/>
                <w:b w:val="0"/>
                <w:i w:val="0"/>
                <w:color w:val="52646B"/>
                <w:sz w:val="17"/>
              </w:rPr>
              <w:t>Slide job: question.</w:t>
            </w:r>
          </w:p>
          <w:p>
            <w:pPr>
              <w:spacing w:after="120"/>
            </w:pPr>
            <w:r>
              <w:t>Pause before revealing the last line. The maintenance window exposed a relationship that had existed for some time. This distinction matters: discovery is not the same as creation, and a newly visible relationship deserves analysis before blame or a rushed label change.</w:t>
            </w:r>
          </w:p>
          <w:p>
            <w:pPr>
              <w:spacing w:after="60"/>
            </w:pPr>
            <w:r>
              <w:rPr>
                <w:rFonts w:ascii="Arial" w:hAnsi="Arial"/>
                <w:b/>
                <w:i w:val="0"/>
                <w:color w:val="FF882B"/>
                <w:sz w:val="16"/>
              </w:rPr>
              <w:t>AUDIENCE PROMPT</w:t>
            </w:r>
          </w:p>
          <w:p>
            <w:pPr>
              <w:shd w:fill="E9F8F6"/>
              <w:spacing w:before="80" w:after="140"/>
              <w:ind w:left="173" w:right="173"/>
            </w:pPr>
            <w:r>
              <w:rPr>
                <w:rFonts w:ascii="Arial" w:hAnsi="Arial"/>
                <w:b/>
                <w:i w:val="0"/>
                <w:color w:val="071015"/>
                <w:sz w:val="21"/>
              </w:rPr>
              <w:t>Which fact was observed, and which conclusion still needed to be made?</w:t>
            </w:r>
          </w:p>
          <w:p>
            <w:pPr>
              <w:spacing w:after="0"/>
            </w:pPr>
            <w:r>
              <w:rPr>
                <w:rFonts w:ascii="Arial" w:hAnsi="Arial"/>
                <w:b/>
                <w:i w:val="0"/>
                <w:color w:val="11C7B6"/>
                <w:sz w:val="18"/>
              </w:rPr>
              <w:t xml:space="preserve">Transition: </w:t>
            </w:r>
            <w:r>
              <w:rPr>
                <w:rFonts w:ascii="Arial" w:hAnsi="Arial"/>
                <w:b w:val="0"/>
                <w:i/>
                <w:color w:val="071015"/>
                <w:sz w:val="18"/>
              </w:rPr>
              <w:t>The team needed more than a color in a workbook.</w:t>
            </w:r>
          </w:p>
        </w:tc>
      </w:tr>
    </w:tbl>
    <w:p>
      <w:pPr>
        <w:sectPr>
          <w:pgSz w:w="12240" w:h="15840"/>
          <w:pgMar w:top="1037" w:right="1238" w:bottom="1008" w:left="1238" w:header="432" w:footer="432" w:gutter="0"/>
          <w:cols w:space="720"/>
          <w:docGrid w:linePitch="360"/>
        </w:sectPr>
      </w:pPr>
    </w:p>
    <w:p>
      <w:pPr>
        <w:keepNext/>
        <w:spacing w:before="100" w:after="0"/>
      </w:pPr>
      <w:r>
        <w:rPr>
          <w:rFonts w:ascii="Arial" w:hAnsi="Arial"/>
          <w:b w:val="0"/>
          <w:i w:val="0"/>
          <w:color w:val="FFFFFF"/>
          <w:sz w:val="2"/>
        </w:rPr>
        <w:t xml:space="preserve"> </w:t>
      </w:r>
    </w:p>
    <w:tbl>
      <w:tblPr>
        <w:tblW w:type="auto" w:w="0"/>
        <w:jc w:val="left"/>
        <w:tblLayout w:type="fixed"/>
        <w:tblLook w:firstColumn="1" w:firstRow="1" w:lastColumn="0" w:lastRow="0" w:noHBand="0" w:noVBand="1" w:val="04A0"/>
      </w:tblPr>
      <w:tblGrid>
        <w:gridCol w:w="9576"/>
      </w:tblGrid>
      <w:tr>
        <w:trPr>
          <w:cantSplit/>
        </w:trPr>
        <w:tc>
          <w:tcPr>
            <w:tcW w:type="dxa" w:w="9576"/>
            <w:tcMar>
              <w:top w:w="150" w:type="dxa"/>
              <w:start w:w="170" w:type="dxa"/>
              <w:bottom w:w="150" w:type="dxa"/>
              <w:end w:w="170" w:type="dxa"/>
            </w:tcMar>
            <w:shd w:fill="F7F9FA"/>
          </w:tcPr>
          <w:p>
            <w:pPr>
              <w:pStyle w:val="Heading2"/>
              <w:spacing w:before="0"/>
            </w:pPr>
            <w:r>
              <w:rPr>
                <w:rFonts w:ascii="Impact" w:hAnsi="Impact"/>
                <w:b w:val="0"/>
                <w:i w:val="0"/>
                <w:color w:val="FF882B"/>
                <w:sz w:val="28"/>
              </w:rPr>
              <w:t>09 / BUILD A SCOPE STORY, NOT A SCOPE ADJECTIVE.</w:t>
            </w:r>
          </w:p>
          <w:p>
            <w:pPr>
              <w:spacing w:after="120"/>
            </w:pPr>
            <w:r>
              <w:rPr>
                <w:rFonts w:ascii="Arial" w:hAnsi="Arial"/>
                <w:b/>
                <w:i w:val="0"/>
                <w:color w:val="FF882B"/>
                <w:sz w:val="17"/>
              </w:rPr>
              <w:t xml:space="preserve">Timing: 1 minute. </w:t>
            </w:r>
            <w:r>
              <w:rPr>
                <w:rFonts w:ascii="Arial" w:hAnsi="Arial"/>
                <w:b w:val="0"/>
                <w:i w:val="0"/>
                <w:color w:val="52646B"/>
                <w:sz w:val="17"/>
              </w:rPr>
              <w:t>Slide job: principle.</w:t>
            </w:r>
          </w:p>
          <w:p>
            <w:pPr>
              <w:spacing w:after="120"/>
            </w:pPr>
            <w:r>
              <w:t>A defensible scope story distinguishes the observed facts from the conclusion. Avoid presenting this list as a substitute for PCI DSS scoping guidance; it is a communication and evidence discipline for making the rationale inspectable and maintainable.</w:t>
            </w:r>
          </w:p>
          <w:p>
            <w:pPr>
              <w:spacing w:after="0"/>
            </w:pPr>
            <w:r>
              <w:rPr>
                <w:rFonts w:ascii="Arial" w:hAnsi="Arial"/>
                <w:b/>
                <w:i w:val="0"/>
                <w:color w:val="11C7B6"/>
                <w:sz w:val="18"/>
              </w:rPr>
              <w:t xml:space="preserve">Transition: </w:t>
            </w:r>
            <w:r>
              <w:rPr>
                <w:rFonts w:ascii="Arial" w:hAnsi="Arial"/>
                <w:b w:val="0"/>
                <w:i/>
                <w:color w:val="071015"/>
                <w:sz w:val="18"/>
              </w:rPr>
              <w:t>A different case shows the same accumulation problem in evidence.</w:t>
            </w:r>
          </w:p>
        </w:tc>
      </w:tr>
    </w:tbl>
    <w:p>
      <w:pPr>
        <w:keepNext/>
        <w:spacing w:before="100" w:after="0"/>
      </w:pPr>
      <w:r>
        <w:rPr>
          <w:rFonts w:ascii="Arial" w:hAnsi="Arial"/>
          <w:b w:val="0"/>
          <w:i w:val="0"/>
          <w:color w:val="FFFFFF"/>
          <w:sz w:val="2"/>
        </w:rPr>
        <w:t xml:space="preserve"> </w:t>
      </w:r>
    </w:p>
    <w:tbl>
      <w:tblPr>
        <w:tblW w:type="auto" w:w="0"/>
        <w:jc w:val="left"/>
        <w:tblLayout w:type="fixed"/>
        <w:tblLook w:firstColumn="1" w:firstRow="1" w:lastColumn="0" w:lastRow="0" w:noHBand="0" w:noVBand="1" w:val="04A0"/>
      </w:tblPr>
      <w:tblGrid>
        <w:gridCol w:w="9576"/>
      </w:tblGrid>
      <w:tr>
        <w:trPr>
          <w:cantSplit/>
        </w:trPr>
        <w:tc>
          <w:tcPr>
            <w:tcW w:type="dxa" w:w="9576"/>
            <w:tcMar>
              <w:top w:w="150" w:type="dxa"/>
              <w:start w:w="170" w:type="dxa"/>
              <w:bottom w:w="150" w:type="dxa"/>
              <w:end w:w="170" w:type="dxa"/>
            </w:tcMar>
            <w:shd w:fill="F7F9FA"/>
          </w:tcPr>
          <w:p>
            <w:pPr>
              <w:pStyle w:val="Heading2"/>
              <w:spacing w:before="0"/>
            </w:pPr>
            <w:r>
              <w:rPr>
                <w:rFonts w:ascii="Impact" w:hAnsi="Impact"/>
                <w:b w:val="0"/>
                <w:i w:val="0"/>
                <w:color w:val="FF882B"/>
                <w:sz w:val="28"/>
              </w:rPr>
              <w:t>10 / THE DASHBOARD WAS GREEN. THE POPULATION WAS MISSING.</w:t>
            </w:r>
          </w:p>
          <w:p>
            <w:pPr>
              <w:spacing w:after="120"/>
            </w:pPr>
            <w:r>
              <w:rPr>
                <w:rFonts w:ascii="Arial" w:hAnsi="Arial"/>
                <w:b/>
                <w:i w:val="0"/>
                <w:color w:val="FF882B"/>
                <w:sz w:val="17"/>
              </w:rPr>
              <w:t xml:space="preserve">Timing: 2 minutes. </w:t>
            </w:r>
            <w:r>
              <w:rPr>
                <w:rFonts w:ascii="Arial" w:hAnsi="Arial"/>
                <w:b w:val="0"/>
                <w:i w:val="0"/>
                <w:color w:val="52646B"/>
                <w:sz w:val="17"/>
              </w:rPr>
              <w:t>Slide job: case.</w:t>
            </w:r>
          </w:p>
          <w:p>
            <w:pPr>
              <w:spacing w:after="120"/>
            </w:pPr>
            <w:r>
              <w:t>A successful tool result can be accurate for the systems the tool observed while remaining silent about systems absent from its population. Describe the collision without asserting that every dashboard must provide every proof element. The question is what claim the artifact is being asked to support.</w:t>
            </w:r>
          </w:p>
          <w:p>
            <w:pPr>
              <w:spacing w:after="0"/>
            </w:pPr>
            <w:r>
              <w:rPr>
                <w:rFonts w:ascii="Arial" w:hAnsi="Arial"/>
                <w:b/>
                <w:i w:val="0"/>
                <w:color w:val="11C7B6"/>
                <w:sz w:val="18"/>
              </w:rPr>
              <w:t xml:space="preserve">Transition: </w:t>
            </w:r>
            <w:r>
              <w:rPr>
                <w:rFonts w:ascii="Arial" w:hAnsi="Arial"/>
                <w:b w:val="0"/>
                <w:i/>
                <w:color w:val="071015"/>
                <w:sz w:val="18"/>
              </w:rPr>
              <w:t>A result and the evidence chain around that result are different things.</w:t>
            </w:r>
          </w:p>
        </w:tc>
      </w:tr>
    </w:tbl>
    <w:p>
      <w:pPr>
        <w:keepNext/>
        <w:spacing w:before="100" w:after="0"/>
      </w:pPr>
      <w:r>
        <w:rPr>
          <w:rFonts w:ascii="Arial" w:hAnsi="Arial"/>
          <w:b w:val="0"/>
          <w:i w:val="0"/>
          <w:color w:val="FFFFFF"/>
          <w:sz w:val="2"/>
        </w:rPr>
        <w:t xml:space="preserve"> </w:t>
      </w:r>
    </w:p>
    <w:tbl>
      <w:tblPr>
        <w:tblW w:type="auto" w:w="0"/>
        <w:jc w:val="left"/>
        <w:tblLayout w:type="fixed"/>
        <w:tblLook w:firstColumn="1" w:firstRow="1" w:lastColumn="0" w:lastRow="0" w:noHBand="0" w:noVBand="1" w:val="04A0"/>
      </w:tblPr>
      <w:tblGrid>
        <w:gridCol w:w="9576"/>
      </w:tblGrid>
      <w:tr>
        <w:trPr>
          <w:cantSplit/>
        </w:trPr>
        <w:tc>
          <w:tcPr>
            <w:tcW w:type="dxa" w:w="9576"/>
            <w:tcMar>
              <w:top w:w="150" w:type="dxa"/>
              <w:start w:w="170" w:type="dxa"/>
              <w:bottom w:w="150" w:type="dxa"/>
              <w:end w:w="170" w:type="dxa"/>
            </w:tcMar>
            <w:shd w:fill="F7F9FA"/>
          </w:tcPr>
          <w:p>
            <w:pPr>
              <w:pStyle w:val="Heading2"/>
              <w:spacing w:before="0"/>
            </w:pPr>
            <w:r>
              <w:rPr>
                <w:rFonts w:ascii="Impact" w:hAnsi="Impact"/>
                <w:b w:val="0"/>
                <w:i w:val="0"/>
                <w:color w:val="FF882B"/>
                <w:sz w:val="28"/>
              </w:rPr>
              <w:t>11 / GREEN IS A RESULT. PROOF NEEDS A CHAIN.</w:t>
            </w:r>
          </w:p>
          <w:p>
            <w:pPr>
              <w:spacing w:after="120"/>
            </w:pPr>
            <w:r>
              <w:rPr>
                <w:rFonts w:ascii="Arial" w:hAnsi="Arial"/>
                <w:b/>
                <w:i w:val="0"/>
                <w:color w:val="FF882B"/>
                <w:sz w:val="17"/>
              </w:rPr>
              <w:t xml:space="preserve">Timing: 1 minute. </w:t>
            </w:r>
            <w:r>
              <w:rPr>
                <w:rFonts w:ascii="Arial" w:hAnsi="Arial"/>
                <w:b w:val="0"/>
                <w:i w:val="0"/>
                <w:color w:val="52646B"/>
                <w:sz w:val="17"/>
              </w:rPr>
              <w:t>Slide job: chain.</w:t>
            </w:r>
          </w:p>
          <w:p>
            <w:pPr>
              <w:spacing w:after="120"/>
            </w:pPr>
            <w:r>
              <w:t>Use the six labels as a verbal evidence chain. The room should understand that evidence quality depends on the claim being tested. A beautiful dashboard can still require population, timing, exception, and ownership context before another person can interpret it responsibly.</w:t>
            </w:r>
          </w:p>
          <w:p>
            <w:pPr>
              <w:spacing w:after="0"/>
            </w:pPr>
            <w:r>
              <w:rPr>
                <w:rFonts w:ascii="Arial" w:hAnsi="Arial"/>
                <w:b/>
                <w:i w:val="0"/>
                <w:color w:val="11C7B6"/>
                <w:sz w:val="18"/>
              </w:rPr>
              <w:t xml:space="preserve">Transition: </w:t>
            </w:r>
            <w:r>
              <w:rPr>
                <w:rFonts w:ascii="Arial" w:hAnsi="Arial"/>
                <w:b w:val="0"/>
                <w:i/>
                <w:color w:val="071015"/>
                <w:sz w:val="18"/>
              </w:rPr>
              <w:t>The same issue appears at provider boundaries.</w:t>
            </w:r>
          </w:p>
        </w:tc>
      </w:tr>
    </w:tbl>
    <w:p>
      <w:pPr>
        <w:keepNext/>
        <w:spacing w:before="100" w:after="0"/>
      </w:pPr>
      <w:r>
        <w:rPr>
          <w:rFonts w:ascii="Arial" w:hAnsi="Arial"/>
          <w:b w:val="0"/>
          <w:i w:val="0"/>
          <w:color w:val="FFFFFF"/>
          <w:sz w:val="2"/>
        </w:rPr>
        <w:t xml:space="preserve"> </w:t>
      </w:r>
    </w:p>
    <w:tbl>
      <w:tblPr>
        <w:tblW w:type="auto" w:w="0"/>
        <w:jc w:val="left"/>
        <w:tblLayout w:type="fixed"/>
        <w:tblLook w:firstColumn="1" w:firstRow="1" w:lastColumn="0" w:lastRow="0" w:noHBand="0" w:noVBand="1" w:val="04A0"/>
      </w:tblPr>
      <w:tblGrid>
        <w:gridCol w:w="9576"/>
      </w:tblGrid>
      <w:tr>
        <w:trPr>
          <w:cantSplit/>
        </w:trPr>
        <w:tc>
          <w:tcPr>
            <w:tcW w:type="dxa" w:w="9576"/>
            <w:tcMar>
              <w:top w:w="150" w:type="dxa"/>
              <w:start w:w="170" w:type="dxa"/>
              <w:bottom w:w="150" w:type="dxa"/>
              <w:end w:w="170" w:type="dxa"/>
            </w:tcMar>
            <w:shd w:fill="F7F9FA"/>
          </w:tcPr>
          <w:p>
            <w:pPr>
              <w:pStyle w:val="Heading2"/>
              <w:spacing w:before="0"/>
            </w:pPr>
            <w:r>
              <w:rPr>
                <w:rFonts w:ascii="Impact" w:hAnsi="Impact"/>
                <w:b w:val="0"/>
                <w:i w:val="0"/>
                <w:color w:val="FF882B"/>
                <w:sz w:val="28"/>
              </w:rPr>
              <w:t>12 / THE AOC ANSWERED A QUESTION. NOT THIS ONE.</w:t>
            </w:r>
          </w:p>
          <w:p>
            <w:pPr>
              <w:spacing w:after="120"/>
            </w:pPr>
            <w:r>
              <w:rPr>
                <w:rFonts w:ascii="Arial" w:hAnsi="Arial"/>
                <w:b/>
                <w:i w:val="0"/>
                <w:color w:val="FF882B"/>
                <w:sz w:val="17"/>
              </w:rPr>
              <w:t xml:space="preserve">Timing: 3 minutes. </w:t>
            </w:r>
            <w:r>
              <w:rPr>
                <w:rFonts w:ascii="Arial" w:hAnsi="Arial"/>
                <w:b w:val="0"/>
                <w:i w:val="0"/>
                <w:color w:val="52646B"/>
                <w:sz w:val="17"/>
              </w:rPr>
              <w:t>Slide job: case.</w:t>
            </w:r>
          </w:p>
          <w:p>
            <w:pPr>
              <w:spacing w:after="120"/>
            </w:pPr>
            <w:r>
              <w:t>Explain the composite: a provider document described the provider's assessed services, but the customer needed to know how responsibility operated for the specific service relationship. Keep the distinction careful and source-aware. Provider assurance material matters; it does not automatically become a service-specific responsibility matrix for the customer.</w:t>
            </w:r>
          </w:p>
          <w:p>
            <w:pPr>
              <w:spacing w:after="0"/>
            </w:pPr>
            <w:r>
              <w:rPr>
                <w:rFonts w:ascii="Arial" w:hAnsi="Arial"/>
                <w:b/>
                <w:i w:val="0"/>
                <w:color w:val="11C7B6"/>
                <w:sz w:val="18"/>
              </w:rPr>
              <w:t xml:space="preserve">Transition: </w:t>
            </w:r>
            <w:r>
              <w:rPr>
                <w:rFonts w:ascii="Arial" w:hAnsi="Arial"/>
                <w:b w:val="0"/>
                <w:i/>
                <w:color w:val="071015"/>
                <w:sz w:val="18"/>
              </w:rPr>
              <w:t>Documents do not own shared activities; people and agreements do.</w:t>
            </w:r>
          </w:p>
        </w:tc>
      </w:tr>
    </w:tbl>
    <w:p>
      <w:pPr>
        <w:sectPr>
          <w:pgSz w:w="12240" w:h="15840"/>
          <w:pgMar w:top="1037" w:right="1238" w:bottom="1008" w:left="1238" w:header="432" w:footer="432" w:gutter="0"/>
          <w:cols w:space="720"/>
          <w:docGrid w:linePitch="360"/>
        </w:sectPr>
      </w:pPr>
    </w:p>
    <w:p>
      <w:pPr>
        <w:keepNext/>
        <w:spacing w:before="100" w:after="0"/>
      </w:pPr>
      <w:r>
        <w:rPr>
          <w:rFonts w:ascii="Arial" w:hAnsi="Arial"/>
          <w:b w:val="0"/>
          <w:i w:val="0"/>
          <w:color w:val="FFFFFF"/>
          <w:sz w:val="2"/>
        </w:rPr>
        <w:t xml:space="preserve"> </w:t>
      </w:r>
    </w:p>
    <w:tbl>
      <w:tblPr>
        <w:tblW w:type="auto" w:w="0"/>
        <w:jc w:val="left"/>
        <w:tblLayout w:type="fixed"/>
        <w:tblLook w:firstColumn="1" w:firstRow="1" w:lastColumn="0" w:lastRow="0" w:noHBand="0" w:noVBand="1" w:val="04A0"/>
      </w:tblPr>
      <w:tblGrid>
        <w:gridCol w:w="9576"/>
      </w:tblGrid>
      <w:tr>
        <w:trPr>
          <w:cantSplit/>
        </w:trPr>
        <w:tc>
          <w:tcPr>
            <w:tcW w:type="dxa" w:w="9576"/>
            <w:tcMar>
              <w:top w:w="150" w:type="dxa"/>
              <w:start w:w="170" w:type="dxa"/>
              <w:bottom w:w="150" w:type="dxa"/>
              <w:end w:w="170" w:type="dxa"/>
            </w:tcMar>
            <w:shd w:fill="F7F9FA"/>
          </w:tcPr>
          <w:p>
            <w:pPr>
              <w:pStyle w:val="Heading2"/>
              <w:spacing w:before="0"/>
            </w:pPr>
            <w:r>
              <w:rPr>
                <w:rFonts w:ascii="Impact" w:hAnsi="Impact"/>
                <w:b w:val="0"/>
                <w:i w:val="0"/>
                <w:color w:val="FF882B"/>
                <w:sz w:val="28"/>
              </w:rPr>
              <w:t>13 / AN AOC IS NOT A RESPONSIBILITY MATRIX.</w:t>
            </w:r>
          </w:p>
          <w:p>
            <w:pPr>
              <w:spacing w:after="120"/>
            </w:pPr>
            <w:r>
              <w:rPr>
                <w:rFonts w:ascii="Arial" w:hAnsi="Arial"/>
                <w:b/>
                <w:i w:val="0"/>
                <w:color w:val="FF882B"/>
                <w:sz w:val="17"/>
              </w:rPr>
              <w:t xml:space="preserve">Timing: 2 minutes. </w:t>
            </w:r>
            <w:r>
              <w:rPr>
                <w:rFonts w:ascii="Arial" w:hAnsi="Arial"/>
                <w:b w:val="0"/>
                <w:i w:val="0"/>
                <w:color w:val="52646B"/>
                <w:sz w:val="17"/>
              </w:rPr>
              <w:t>Slide job: principle.</w:t>
            </w:r>
          </w:p>
          <w:p>
            <w:pPr>
              <w:spacing w:after="120"/>
            </w:pPr>
            <w:r>
              <w:t>Walk across the seam from provider to customer. The practical output is not distrust of third parties; it is explicit mapping of relied-upon activities, customer obligations, shared handoffs, evidence, and escalation. Cite PCI SSC TPSP guidance in the notes and avoid quoting standard text on the slide.</w:t>
            </w:r>
          </w:p>
          <w:p>
            <w:pPr>
              <w:spacing w:after="0"/>
            </w:pPr>
            <w:r>
              <w:rPr>
                <w:rFonts w:ascii="Arial" w:hAnsi="Arial"/>
                <w:b/>
                <w:i w:val="0"/>
                <w:color w:val="11C7B6"/>
                <w:sz w:val="18"/>
              </w:rPr>
              <w:t xml:space="preserve">Transition: </w:t>
            </w:r>
            <w:r>
              <w:rPr>
                <w:rFonts w:ascii="Arial" w:hAnsi="Arial"/>
                <w:b w:val="0"/>
                <w:i/>
                <w:color w:val="071015"/>
                <w:sz w:val="18"/>
              </w:rPr>
              <w:t>These cases look different, but the accumulation mechanics are the same.</w:t>
            </w:r>
          </w:p>
        </w:tc>
      </w:tr>
    </w:tbl>
    <w:p>
      <w:pPr>
        <w:keepNext/>
        <w:spacing w:before="100" w:after="0"/>
      </w:pPr>
      <w:r>
        <w:rPr>
          <w:rFonts w:ascii="Arial" w:hAnsi="Arial"/>
          <w:b w:val="0"/>
          <w:i w:val="0"/>
          <w:color w:val="FFFFFF"/>
          <w:sz w:val="2"/>
        </w:rPr>
        <w:t xml:space="preserve"> </w:t>
      </w:r>
    </w:p>
    <w:tbl>
      <w:tblPr>
        <w:tblW w:type="auto" w:w="0"/>
        <w:jc w:val="left"/>
        <w:tblLayout w:type="fixed"/>
        <w:tblLook w:firstColumn="1" w:firstRow="1" w:lastColumn="0" w:lastRow="0" w:noHBand="0" w:noVBand="1" w:val="04A0"/>
      </w:tblPr>
      <w:tblGrid>
        <w:gridCol w:w="9576"/>
      </w:tblGrid>
      <w:tr>
        <w:trPr>
          <w:cantSplit/>
        </w:trPr>
        <w:tc>
          <w:tcPr>
            <w:tcW w:type="dxa" w:w="9576"/>
            <w:tcMar>
              <w:top w:w="150" w:type="dxa"/>
              <w:start w:w="170" w:type="dxa"/>
              <w:bottom w:w="150" w:type="dxa"/>
              <w:end w:w="170" w:type="dxa"/>
            </w:tcMar>
            <w:shd w:fill="F7F9FA"/>
          </w:tcPr>
          <w:p>
            <w:pPr>
              <w:pStyle w:val="Heading2"/>
              <w:spacing w:before="0"/>
            </w:pPr>
            <w:r>
              <w:rPr>
                <w:rFonts w:ascii="Impact" w:hAnsi="Impact"/>
                <w:b w:val="0"/>
                <w:i w:val="0"/>
                <w:color w:val="FF882B"/>
                <w:sz w:val="28"/>
              </w:rPr>
              <w:t>14 / WACK HAS MECHANICS.</w:t>
            </w:r>
          </w:p>
          <w:p>
            <w:pPr>
              <w:spacing w:after="120"/>
            </w:pPr>
            <w:r>
              <w:rPr>
                <w:rFonts w:ascii="Arial" w:hAnsi="Arial"/>
                <w:b/>
                <w:i w:val="0"/>
                <w:color w:val="FF882B"/>
                <w:sz w:val="17"/>
              </w:rPr>
              <w:t xml:space="preserve">Timing: 1 minute. </w:t>
            </w:r>
            <w:r>
              <w:rPr>
                <w:rFonts w:ascii="Arial" w:hAnsi="Arial"/>
                <w:b w:val="0"/>
                <w:i w:val="0"/>
                <w:color w:val="52646B"/>
                <w:sz w:val="17"/>
              </w:rPr>
              <w:t>Slide job: model.</w:t>
            </w:r>
          </w:p>
          <w:p>
            <w:pPr>
              <w:spacing w:after="120"/>
            </w:pPr>
            <w:r>
              <w:t>Connect the vocabulary as a causal sequence. This is not a quantitative risk model. It is a way to explain why a local exception becomes hard to remove and why assessment effort grows even when no single control changed dramatically.</w:t>
            </w:r>
          </w:p>
          <w:p>
            <w:pPr>
              <w:spacing w:after="0"/>
            </w:pPr>
            <w:r>
              <w:rPr>
                <w:rFonts w:ascii="Arial" w:hAnsi="Arial"/>
                <w:b/>
                <w:i w:val="0"/>
                <w:color w:val="11C7B6"/>
                <w:sz w:val="18"/>
              </w:rPr>
              <w:t xml:space="preserve">Transition: </w:t>
            </w:r>
            <w:r>
              <w:rPr>
                <w:rFonts w:ascii="Arial" w:hAnsi="Arial"/>
                <w:b w:val="0"/>
                <w:i/>
                <w:color w:val="071015"/>
                <w:sz w:val="18"/>
              </w:rPr>
              <w:t>The fourth case makes those mechanics visible.</w:t>
            </w:r>
          </w:p>
        </w:tc>
      </w:tr>
    </w:tbl>
    <w:p>
      <w:pPr>
        <w:keepNext/>
        <w:spacing w:before="100" w:after="0"/>
      </w:pPr>
      <w:r>
        <w:rPr>
          <w:rFonts w:ascii="Arial" w:hAnsi="Arial"/>
          <w:b w:val="0"/>
          <w:i w:val="0"/>
          <w:color w:val="FFFFFF"/>
          <w:sz w:val="2"/>
        </w:rPr>
        <w:t xml:space="preserve"> </w:t>
      </w:r>
    </w:p>
    <w:tbl>
      <w:tblPr>
        <w:tblW w:type="auto" w:w="0"/>
        <w:jc w:val="left"/>
        <w:tblLayout w:type="fixed"/>
        <w:tblLook w:firstColumn="1" w:firstRow="1" w:lastColumn="0" w:lastRow="0" w:noHBand="0" w:noVBand="1" w:val="04A0"/>
      </w:tblPr>
      <w:tblGrid>
        <w:gridCol w:w="9576"/>
      </w:tblGrid>
      <w:tr>
        <w:trPr>
          <w:cantSplit/>
        </w:trPr>
        <w:tc>
          <w:tcPr>
            <w:tcW w:type="dxa" w:w="9576"/>
            <w:tcMar>
              <w:top w:w="150" w:type="dxa"/>
              <w:start w:w="170" w:type="dxa"/>
              <w:bottom w:w="150" w:type="dxa"/>
              <w:end w:w="170" w:type="dxa"/>
            </w:tcMar>
            <w:shd w:fill="F7F9FA"/>
          </w:tcPr>
          <w:p>
            <w:pPr>
              <w:pStyle w:val="Heading2"/>
              <w:spacing w:before="0"/>
            </w:pPr>
            <w:r>
              <w:rPr>
                <w:rFonts w:ascii="Impact" w:hAnsi="Impact"/>
                <w:b w:val="0"/>
                <w:i w:val="0"/>
                <w:color w:val="FF882B"/>
                <w:sz w:val="28"/>
              </w:rPr>
              <w:t>15 / THE TEMPORARY RULE BECAME LOAD-BEARING.</w:t>
            </w:r>
          </w:p>
          <w:p>
            <w:pPr>
              <w:spacing w:after="120"/>
            </w:pPr>
            <w:r>
              <w:rPr>
                <w:rFonts w:ascii="Arial" w:hAnsi="Arial"/>
                <w:b/>
                <w:i w:val="0"/>
                <w:color w:val="FF882B"/>
                <w:sz w:val="17"/>
              </w:rPr>
              <w:t xml:space="preserve">Timing: 2 minutes. </w:t>
            </w:r>
            <w:r>
              <w:rPr>
                <w:rFonts w:ascii="Arial" w:hAnsi="Arial"/>
                <w:b w:val="0"/>
                <w:i w:val="0"/>
                <w:color w:val="52646B"/>
                <w:sz w:val="17"/>
              </w:rPr>
              <w:t>Slide job: case.</w:t>
            </w:r>
          </w:p>
          <w:p>
            <w:pPr>
              <w:spacing w:after="120"/>
            </w:pPr>
            <w:r>
              <w:t>Tell the pattern: a temporary firewall exception outlived the original need, gained consumers, entered operating assumptions, and became difficult to remove because nobody could confidently predict the blast radius. The answer was not one heroic deletion; it was a controlled sequence of mapping, narrowing, observation, and evidence.</w:t>
            </w:r>
          </w:p>
          <w:p>
            <w:pPr>
              <w:spacing w:after="0"/>
            </w:pPr>
            <w:r>
              <w:rPr>
                <w:rFonts w:ascii="Arial" w:hAnsi="Arial"/>
                <w:b/>
                <w:i w:val="0"/>
                <w:color w:val="11C7B6"/>
                <w:sz w:val="18"/>
              </w:rPr>
              <w:t xml:space="preserve">Transition: </w:t>
            </w:r>
            <w:r>
              <w:rPr>
                <w:rFonts w:ascii="Arial" w:hAnsi="Arial"/>
                <w:b w:val="0"/>
                <w:i/>
                <w:color w:val="071015"/>
                <w:sz w:val="18"/>
              </w:rPr>
              <w:t>Now let the audience apply the method to one relationship of their own.</w:t>
            </w:r>
          </w:p>
        </w:tc>
      </w:tr>
    </w:tbl>
    <w:p>
      <w:pPr>
        <w:keepNext/>
        <w:spacing w:before="100" w:after="0"/>
      </w:pPr>
      <w:r>
        <w:rPr>
          <w:rFonts w:ascii="Arial" w:hAnsi="Arial"/>
          <w:b w:val="0"/>
          <w:i w:val="0"/>
          <w:color w:val="FFFFFF"/>
          <w:sz w:val="2"/>
        </w:rPr>
        <w:t xml:space="preserve"> </w:t>
      </w:r>
    </w:p>
    <w:tbl>
      <w:tblPr>
        <w:tblW w:type="auto" w:w="0"/>
        <w:jc w:val="left"/>
        <w:tblLayout w:type="fixed"/>
        <w:tblLook w:firstColumn="1" w:firstRow="1" w:lastColumn="0" w:lastRow="0" w:noHBand="0" w:noVBand="1" w:val="04A0"/>
      </w:tblPr>
      <w:tblGrid>
        <w:gridCol w:w="9576"/>
      </w:tblGrid>
      <w:tr>
        <w:trPr>
          <w:cantSplit/>
        </w:trPr>
        <w:tc>
          <w:tcPr>
            <w:tcW w:type="dxa" w:w="9576"/>
            <w:tcMar>
              <w:top w:w="150" w:type="dxa"/>
              <w:start w:w="170" w:type="dxa"/>
              <w:bottom w:w="150" w:type="dxa"/>
              <w:end w:w="170" w:type="dxa"/>
            </w:tcMar>
            <w:shd w:fill="F7F9FA"/>
          </w:tcPr>
          <w:p>
            <w:pPr>
              <w:pStyle w:val="Heading2"/>
              <w:spacing w:before="0"/>
            </w:pPr>
            <w:r>
              <w:rPr>
                <w:rFonts w:ascii="Impact" w:hAnsi="Impact"/>
                <w:b w:val="0"/>
                <w:i w:val="0"/>
                <w:color w:val="FF882B"/>
                <w:sz w:val="28"/>
              </w:rPr>
              <w:t>16 / CHOOSE ONE RELATIONSHIP THAT MAKES PEOPLE SAY: IT'S COMPLICATED.</w:t>
            </w:r>
          </w:p>
          <w:p>
            <w:pPr>
              <w:spacing w:after="120"/>
            </w:pPr>
            <w:r>
              <w:rPr>
                <w:rFonts w:ascii="Arial" w:hAnsi="Arial"/>
                <w:b/>
                <w:i w:val="0"/>
                <w:color w:val="FF882B"/>
                <w:sz w:val="17"/>
              </w:rPr>
              <w:t xml:space="preserve">Timing: 1 minute. </w:t>
            </w:r>
            <w:r>
              <w:rPr>
                <w:rFonts w:ascii="Arial" w:hAnsi="Arial"/>
                <w:b w:val="0"/>
                <w:i w:val="0"/>
                <w:color w:val="52646B"/>
                <w:sz w:val="17"/>
              </w:rPr>
              <w:t>Slide job: exercise.</w:t>
            </w:r>
          </w:p>
          <w:p>
            <w:pPr>
              <w:spacing w:after="120"/>
            </w:pPr>
            <w:r>
              <w:t>Distribute or point to the participant workbook. Ask each person to choose one relationship they can describe without including sensitive data. They may work alone or with a neighbor. The exercise is diagnostic and educational; it does not decide compliance.</w:t>
            </w:r>
          </w:p>
          <w:p>
            <w:pPr>
              <w:spacing w:after="60"/>
            </w:pPr>
            <w:r>
              <w:rPr>
                <w:rFonts w:ascii="Arial" w:hAnsi="Arial"/>
                <w:b/>
                <w:i w:val="0"/>
                <w:color w:val="FF882B"/>
                <w:sz w:val="16"/>
              </w:rPr>
              <w:t>AUDIENCE PROMPT</w:t>
            </w:r>
          </w:p>
          <w:p>
            <w:pPr>
              <w:shd w:fill="E9F8F6"/>
              <w:spacing w:before="80" w:after="140"/>
              <w:ind w:left="173" w:right="173"/>
            </w:pPr>
            <w:r>
              <w:rPr>
                <w:rFonts w:ascii="Arial" w:hAnsi="Arial"/>
                <w:b/>
                <w:i w:val="0"/>
                <w:color w:val="071015"/>
                <w:sz w:val="21"/>
              </w:rPr>
              <w:t>Write one sentence that your team currently uses to explain the relationship.</w:t>
            </w:r>
          </w:p>
          <w:p>
            <w:pPr>
              <w:spacing w:after="0"/>
            </w:pPr>
            <w:r>
              <w:rPr>
                <w:rFonts w:ascii="Arial" w:hAnsi="Arial"/>
                <w:b/>
                <w:i w:val="0"/>
                <w:color w:val="11C7B6"/>
                <w:sz w:val="18"/>
              </w:rPr>
              <w:t xml:space="preserve">Transition: </w:t>
            </w:r>
            <w:r>
              <w:rPr>
                <w:rFonts w:ascii="Arial" w:hAnsi="Arial"/>
                <w:b w:val="0"/>
                <w:i/>
                <w:color w:val="071015"/>
                <w:sz w:val="18"/>
              </w:rPr>
              <w:t>Work the five moves in order.</w:t>
            </w:r>
          </w:p>
        </w:tc>
      </w:tr>
    </w:tbl>
    <w:p>
      <w:pPr>
        <w:sectPr>
          <w:pgSz w:w="12240" w:h="15840"/>
          <w:pgMar w:top="1037" w:right="1238" w:bottom="1008" w:left="1238" w:header="432" w:footer="432" w:gutter="0"/>
          <w:cols w:space="720"/>
          <w:docGrid w:linePitch="360"/>
        </w:sectPr>
      </w:pPr>
    </w:p>
    <w:p>
      <w:pPr>
        <w:keepNext/>
        <w:spacing w:before="100" w:after="0"/>
      </w:pPr>
      <w:r>
        <w:rPr>
          <w:rFonts w:ascii="Arial" w:hAnsi="Arial"/>
          <w:b w:val="0"/>
          <w:i w:val="0"/>
          <w:color w:val="FFFFFF"/>
          <w:sz w:val="2"/>
        </w:rPr>
        <w:t xml:space="preserve"> </w:t>
      </w:r>
    </w:p>
    <w:tbl>
      <w:tblPr>
        <w:tblW w:type="auto" w:w="0"/>
        <w:jc w:val="left"/>
        <w:tblLayout w:type="fixed"/>
        <w:tblLook w:firstColumn="1" w:firstRow="1" w:lastColumn="0" w:lastRow="0" w:noHBand="0" w:noVBand="1" w:val="04A0"/>
      </w:tblPr>
      <w:tblGrid>
        <w:gridCol w:w="9576"/>
      </w:tblGrid>
      <w:tr>
        <w:trPr>
          <w:cantSplit/>
        </w:trPr>
        <w:tc>
          <w:tcPr>
            <w:tcW w:type="dxa" w:w="9576"/>
            <w:tcMar>
              <w:top w:w="150" w:type="dxa"/>
              <w:start w:w="170" w:type="dxa"/>
              <w:bottom w:w="150" w:type="dxa"/>
              <w:end w:w="170" w:type="dxa"/>
            </w:tcMar>
            <w:shd w:fill="F7F9FA"/>
          </w:tcPr>
          <w:p>
            <w:pPr>
              <w:pStyle w:val="Heading2"/>
              <w:spacing w:before="0"/>
            </w:pPr>
            <w:r>
              <w:rPr>
                <w:rFonts w:ascii="Impact" w:hAnsi="Impact"/>
                <w:b w:val="0"/>
                <w:i w:val="0"/>
                <w:color w:val="FF882B"/>
                <w:sz w:val="28"/>
              </w:rPr>
              <w:t>17 / 01 / FIND THE WACK</w:t>
            </w:r>
          </w:p>
          <w:p>
            <w:pPr>
              <w:spacing w:after="120"/>
            </w:pPr>
            <w:r>
              <w:rPr>
                <w:rFonts w:ascii="Arial" w:hAnsi="Arial"/>
                <w:b/>
                <w:i w:val="0"/>
                <w:color w:val="FF882B"/>
                <w:sz w:val="17"/>
              </w:rPr>
              <w:t xml:space="preserve">Timing: 2 minutes. </w:t>
            </w:r>
            <w:r>
              <w:rPr>
                <w:rFonts w:ascii="Arial" w:hAnsi="Arial"/>
                <w:b w:val="0"/>
                <w:i w:val="0"/>
                <w:color w:val="52646B"/>
                <w:sz w:val="17"/>
              </w:rPr>
              <w:t>Slide job: method.</w:t>
            </w:r>
          </w:p>
          <w:p>
            <w:pPr>
              <w:spacing w:after="120"/>
            </w:pPr>
            <w:r>
              <w:t>Give the room about sixty seconds to write. Encourage observation over opinion: a maintenance action, authentication path, provider handoff, exception renewal, or evidence reuse. A good Find statement describes what happened and why it contradicts or exceeds the existing explanation.</w:t>
            </w:r>
          </w:p>
          <w:p>
            <w:pPr>
              <w:spacing w:after="0"/>
            </w:pPr>
            <w:r>
              <w:rPr>
                <w:rFonts w:ascii="Arial" w:hAnsi="Arial"/>
                <w:b/>
                <w:i w:val="0"/>
                <w:color w:val="11C7B6"/>
                <w:sz w:val="18"/>
              </w:rPr>
              <w:t xml:space="preserve">Transition: </w:t>
            </w:r>
            <w:r>
              <w:rPr>
                <w:rFonts w:ascii="Arial" w:hAnsi="Arial"/>
                <w:b w:val="0"/>
                <w:i/>
                <w:color w:val="071015"/>
                <w:sz w:val="18"/>
              </w:rPr>
              <w:t>Once the contradiction is visible, draw the relationship.</w:t>
            </w:r>
          </w:p>
        </w:tc>
      </w:tr>
    </w:tbl>
    <w:p>
      <w:pPr>
        <w:keepNext/>
        <w:spacing w:before="100" w:after="0"/>
      </w:pPr>
      <w:r>
        <w:rPr>
          <w:rFonts w:ascii="Arial" w:hAnsi="Arial"/>
          <w:b w:val="0"/>
          <w:i w:val="0"/>
          <w:color w:val="FFFFFF"/>
          <w:sz w:val="2"/>
        </w:rPr>
        <w:t xml:space="preserve"> </w:t>
      </w:r>
    </w:p>
    <w:tbl>
      <w:tblPr>
        <w:tblW w:type="auto" w:w="0"/>
        <w:jc w:val="left"/>
        <w:tblLayout w:type="fixed"/>
        <w:tblLook w:firstColumn="1" w:firstRow="1" w:lastColumn="0" w:lastRow="0" w:noHBand="0" w:noVBand="1" w:val="04A0"/>
      </w:tblPr>
      <w:tblGrid>
        <w:gridCol w:w="9576"/>
      </w:tblGrid>
      <w:tr>
        <w:trPr>
          <w:cantSplit/>
        </w:trPr>
        <w:tc>
          <w:tcPr>
            <w:tcW w:type="dxa" w:w="9576"/>
            <w:tcMar>
              <w:top w:w="150" w:type="dxa"/>
              <w:start w:w="170" w:type="dxa"/>
              <w:bottom w:w="150" w:type="dxa"/>
              <w:end w:w="170" w:type="dxa"/>
            </w:tcMar>
            <w:shd w:fill="F7F9FA"/>
          </w:tcPr>
          <w:p>
            <w:pPr>
              <w:pStyle w:val="Heading2"/>
              <w:spacing w:before="0"/>
            </w:pPr>
            <w:r>
              <w:rPr>
                <w:rFonts w:ascii="Impact" w:hAnsi="Impact"/>
                <w:b w:val="0"/>
                <w:i w:val="0"/>
                <w:color w:val="FF882B"/>
                <w:sz w:val="28"/>
              </w:rPr>
              <w:t>18 / 02 / MAP THE WACK</w:t>
            </w:r>
          </w:p>
          <w:p>
            <w:pPr>
              <w:spacing w:after="120"/>
            </w:pPr>
            <w:r>
              <w:rPr>
                <w:rFonts w:ascii="Arial" w:hAnsi="Arial"/>
                <w:b/>
                <w:i w:val="0"/>
                <w:color w:val="FF882B"/>
                <w:sz w:val="17"/>
              </w:rPr>
              <w:t xml:space="preserve">Timing: 3 minutes. </w:t>
            </w:r>
            <w:r>
              <w:rPr>
                <w:rFonts w:ascii="Arial" w:hAnsi="Arial"/>
                <w:b w:val="0"/>
                <w:i w:val="0"/>
                <w:color w:val="52646B"/>
                <w:sz w:val="17"/>
              </w:rPr>
              <w:t>Slide job: method.</w:t>
            </w:r>
          </w:p>
          <w:p>
            <w:pPr>
              <w:spacing w:after="120"/>
            </w:pPr>
            <w:r>
              <w:t>Ask participants to draw boxes and arrows, not a polished architecture diagram. Use white for known facts, orange for assumptions, and red for decisions or disputed edges. Include human approval and evidence handoffs when they determine how the control operates.</w:t>
            </w:r>
          </w:p>
          <w:p>
            <w:pPr>
              <w:spacing w:after="60"/>
            </w:pPr>
            <w:r>
              <w:rPr>
                <w:rFonts w:ascii="Arial" w:hAnsi="Arial"/>
                <w:b/>
                <w:i w:val="0"/>
                <w:color w:val="FF882B"/>
                <w:sz w:val="16"/>
              </w:rPr>
              <w:t>AUDIENCE PROMPT</w:t>
            </w:r>
          </w:p>
          <w:p>
            <w:pPr>
              <w:shd w:fill="E9F8F6"/>
              <w:spacing w:before="80" w:after="140"/>
              <w:ind w:left="173" w:right="173"/>
            </w:pPr>
            <w:r>
              <w:rPr>
                <w:rFonts w:ascii="Arial" w:hAnsi="Arial"/>
                <w:b/>
                <w:i w:val="0"/>
                <w:color w:val="071015"/>
                <w:sz w:val="21"/>
              </w:rPr>
              <w:t>Circle the edge that would be hardest to explain to a new owner.</w:t>
            </w:r>
          </w:p>
          <w:p>
            <w:pPr>
              <w:spacing w:after="0"/>
            </w:pPr>
            <w:r>
              <w:rPr>
                <w:rFonts w:ascii="Arial" w:hAnsi="Arial"/>
                <w:b/>
                <w:i w:val="0"/>
                <w:color w:val="11C7B6"/>
                <w:sz w:val="18"/>
              </w:rPr>
              <w:t xml:space="preserve">Transition: </w:t>
            </w:r>
            <w:r>
              <w:rPr>
                <w:rFonts w:ascii="Arial" w:hAnsi="Arial"/>
                <w:b w:val="0"/>
                <w:i/>
                <w:color w:val="071015"/>
                <w:sz w:val="18"/>
              </w:rPr>
              <w:t>A map without ownership is only a better-looking mystery.</w:t>
            </w:r>
          </w:p>
        </w:tc>
      </w:tr>
    </w:tbl>
    <w:p>
      <w:pPr>
        <w:keepNext/>
        <w:spacing w:before="100" w:after="0"/>
      </w:pPr>
      <w:r>
        <w:rPr>
          <w:rFonts w:ascii="Arial" w:hAnsi="Arial"/>
          <w:b w:val="0"/>
          <w:i w:val="0"/>
          <w:color w:val="FFFFFF"/>
          <w:sz w:val="2"/>
        </w:rPr>
        <w:t xml:space="preserve"> </w:t>
      </w:r>
    </w:p>
    <w:tbl>
      <w:tblPr>
        <w:tblW w:type="auto" w:w="0"/>
        <w:jc w:val="left"/>
        <w:tblLayout w:type="fixed"/>
        <w:tblLook w:firstColumn="1" w:firstRow="1" w:lastColumn="0" w:lastRow="0" w:noHBand="0" w:noVBand="1" w:val="04A0"/>
      </w:tblPr>
      <w:tblGrid>
        <w:gridCol w:w="9576"/>
      </w:tblGrid>
      <w:tr>
        <w:trPr>
          <w:cantSplit/>
        </w:trPr>
        <w:tc>
          <w:tcPr>
            <w:tcW w:type="dxa" w:w="9576"/>
            <w:tcMar>
              <w:top w:w="150" w:type="dxa"/>
              <w:start w:w="170" w:type="dxa"/>
              <w:bottom w:w="150" w:type="dxa"/>
              <w:end w:w="170" w:type="dxa"/>
            </w:tcMar>
            <w:shd w:fill="F7F9FA"/>
          </w:tcPr>
          <w:p>
            <w:pPr>
              <w:pStyle w:val="Heading2"/>
              <w:spacing w:before="0"/>
            </w:pPr>
            <w:r>
              <w:rPr>
                <w:rFonts w:ascii="Impact" w:hAnsi="Impact"/>
                <w:b w:val="0"/>
                <w:i w:val="0"/>
                <w:color w:val="FF882B"/>
                <w:sz w:val="28"/>
              </w:rPr>
              <w:t>19 / 03 / EXPLAIN THE WACK</w:t>
            </w:r>
          </w:p>
          <w:p>
            <w:pPr>
              <w:spacing w:after="120"/>
            </w:pPr>
            <w:r>
              <w:rPr>
                <w:rFonts w:ascii="Arial" w:hAnsi="Arial"/>
                <w:b/>
                <w:i w:val="0"/>
                <w:color w:val="FF882B"/>
                <w:sz w:val="17"/>
              </w:rPr>
              <w:t xml:space="preserve">Timing: 2 minutes. </w:t>
            </w:r>
            <w:r>
              <w:rPr>
                <w:rFonts w:ascii="Arial" w:hAnsi="Arial"/>
                <w:b w:val="0"/>
                <w:i w:val="0"/>
                <w:color w:val="52646B"/>
                <w:sz w:val="17"/>
              </w:rPr>
              <w:t>Slide job: method.</w:t>
            </w:r>
          </w:p>
          <w:p>
            <w:pPr>
              <w:spacing w:after="120"/>
            </w:pPr>
            <w:r>
              <w:t>Push past historical origin stories. The practical question is why the relationship remains necessary now, who can change it, who owns the resulting decision, and which control or scope claims rely on it. Different ownership roles can be legitimate; ambiguity should not be mistaken for distributed accountability.</w:t>
            </w:r>
          </w:p>
          <w:p>
            <w:pPr>
              <w:spacing w:after="0"/>
            </w:pPr>
            <w:r>
              <w:rPr>
                <w:rFonts w:ascii="Arial" w:hAnsi="Arial"/>
                <w:b/>
                <w:i w:val="0"/>
                <w:color w:val="11C7B6"/>
                <w:sz w:val="18"/>
              </w:rPr>
              <w:t xml:space="preserve">Transition: </w:t>
            </w:r>
            <w:r>
              <w:rPr>
                <w:rFonts w:ascii="Arial" w:hAnsi="Arial"/>
                <w:b w:val="0"/>
                <w:i/>
                <w:color w:val="071015"/>
                <w:sz w:val="18"/>
              </w:rPr>
              <w:t>Explanation creates the conditions for safe reduction.</w:t>
            </w:r>
          </w:p>
        </w:tc>
      </w:tr>
    </w:tbl>
    <w:p>
      <w:pPr>
        <w:keepNext/>
        <w:spacing w:before="100" w:after="0"/>
      </w:pPr>
      <w:r>
        <w:rPr>
          <w:rFonts w:ascii="Arial" w:hAnsi="Arial"/>
          <w:b w:val="0"/>
          <w:i w:val="0"/>
          <w:color w:val="FFFFFF"/>
          <w:sz w:val="2"/>
        </w:rPr>
        <w:t xml:space="preserve"> </w:t>
      </w:r>
    </w:p>
    <w:tbl>
      <w:tblPr>
        <w:tblW w:type="auto" w:w="0"/>
        <w:jc w:val="left"/>
        <w:tblLayout w:type="fixed"/>
        <w:tblLook w:firstColumn="1" w:firstRow="1" w:lastColumn="0" w:lastRow="0" w:noHBand="0" w:noVBand="1" w:val="04A0"/>
      </w:tblPr>
      <w:tblGrid>
        <w:gridCol w:w="9576"/>
      </w:tblGrid>
      <w:tr>
        <w:trPr>
          <w:cantSplit/>
        </w:trPr>
        <w:tc>
          <w:tcPr>
            <w:tcW w:type="dxa" w:w="9576"/>
            <w:tcMar>
              <w:top w:w="150" w:type="dxa"/>
              <w:start w:w="170" w:type="dxa"/>
              <w:bottom w:w="150" w:type="dxa"/>
              <w:end w:w="170" w:type="dxa"/>
            </w:tcMar>
            <w:shd w:fill="F7F9FA"/>
          </w:tcPr>
          <w:p>
            <w:pPr>
              <w:pStyle w:val="Heading2"/>
              <w:spacing w:before="0"/>
            </w:pPr>
            <w:r>
              <w:rPr>
                <w:rFonts w:ascii="Impact" w:hAnsi="Impact"/>
                <w:b w:val="0"/>
                <w:i w:val="0"/>
                <w:color w:val="FF882B"/>
                <w:sz w:val="28"/>
              </w:rPr>
              <w:t>20 / 04 / REDUCE THE WACK</w:t>
            </w:r>
          </w:p>
          <w:p>
            <w:pPr>
              <w:spacing w:after="120"/>
            </w:pPr>
            <w:r>
              <w:rPr>
                <w:rFonts w:ascii="Arial" w:hAnsi="Arial"/>
                <w:b/>
                <w:i w:val="0"/>
                <w:color w:val="FF882B"/>
                <w:sz w:val="17"/>
              </w:rPr>
              <w:t xml:space="preserve">Timing: 2 minutes. </w:t>
            </w:r>
            <w:r>
              <w:rPr>
                <w:rFonts w:ascii="Arial" w:hAnsi="Arial"/>
                <w:b w:val="0"/>
                <w:i w:val="0"/>
                <w:color w:val="52646B"/>
                <w:sz w:val="17"/>
              </w:rPr>
              <w:t>Slide job: method.</w:t>
            </w:r>
          </w:p>
          <w:p>
            <w:pPr>
              <w:spacing w:after="120"/>
            </w:pPr>
            <w:r>
              <w:t>Reduction should change the map, not merely improve the prose. Encourage the smallest safe experiment: remove one consumer, constrain one path, assign one owner, or test one retirement step while observing the result. Do not prescribe technical change without the owner's change and risk processes.</w:t>
            </w:r>
          </w:p>
          <w:p>
            <w:pPr>
              <w:spacing w:after="0"/>
            </w:pPr>
            <w:r>
              <w:rPr>
                <w:rFonts w:ascii="Arial" w:hAnsi="Arial"/>
                <w:b/>
                <w:i w:val="0"/>
                <w:color w:val="11C7B6"/>
                <w:sz w:val="18"/>
              </w:rPr>
              <w:t xml:space="preserve">Transition: </w:t>
            </w:r>
            <w:r>
              <w:rPr>
                <w:rFonts w:ascii="Arial" w:hAnsi="Arial"/>
                <w:b w:val="0"/>
                <w:i/>
                <w:color w:val="071015"/>
                <w:sz w:val="18"/>
              </w:rPr>
              <w:t>What remains must be provable after the people in this room move on.</w:t>
            </w:r>
          </w:p>
        </w:tc>
      </w:tr>
    </w:tbl>
    <w:p>
      <w:pPr>
        <w:sectPr>
          <w:pgSz w:w="12240" w:h="15840"/>
          <w:pgMar w:top="1037" w:right="1238" w:bottom="1008" w:left="1238" w:header="432" w:footer="432" w:gutter="0"/>
          <w:cols w:space="720"/>
          <w:docGrid w:linePitch="360"/>
        </w:sectPr>
      </w:pPr>
    </w:p>
    <w:p>
      <w:pPr>
        <w:keepNext/>
        <w:spacing w:before="100" w:after="0"/>
      </w:pPr>
      <w:r>
        <w:rPr>
          <w:rFonts w:ascii="Arial" w:hAnsi="Arial"/>
          <w:b w:val="0"/>
          <w:i w:val="0"/>
          <w:color w:val="FFFFFF"/>
          <w:sz w:val="2"/>
        </w:rPr>
        <w:t xml:space="preserve"> </w:t>
      </w:r>
    </w:p>
    <w:tbl>
      <w:tblPr>
        <w:tblW w:type="auto" w:w="0"/>
        <w:jc w:val="left"/>
        <w:tblLayout w:type="fixed"/>
        <w:tblLook w:firstColumn="1" w:firstRow="1" w:lastColumn="0" w:lastRow="0" w:noHBand="0" w:noVBand="1" w:val="04A0"/>
      </w:tblPr>
      <w:tblGrid>
        <w:gridCol w:w="9576"/>
      </w:tblGrid>
      <w:tr>
        <w:trPr>
          <w:cantSplit/>
        </w:trPr>
        <w:tc>
          <w:tcPr>
            <w:tcW w:type="dxa" w:w="9576"/>
            <w:tcMar>
              <w:top w:w="150" w:type="dxa"/>
              <w:start w:w="170" w:type="dxa"/>
              <w:bottom w:w="150" w:type="dxa"/>
              <w:end w:w="170" w:type="dxa"/>
            </w:tcMar>
            <w:shd w:fill="F7F9FA"/>
          </w:tcPr>
          <w:p>
            <w:pPr>
              <w:pStyle w:val="Heading2"/>
              <w:spacing w:before="0"/>
            </w:pPr>
            <w:r>
              <w:rPr>
                <w:rFonts w:ascii="Impact" w:hAnsi="Impact"/>
                <w:b w:val="0"/>
                <w:i w:val="0"/>
                <w:color w:val="FF882B"/>
                <w:sz w:val="28"/>
              </w:rPr>
              <w:t>21 / 05 / PROVE WHAT REMAINS</w:t>
            </w:r>
          </w:p>
          <w:p>
            <w:pPr>
              <w:spacing w:after="120"/>
            </w:pPr>
            <w:r>
              <w:rPr>
                <w:rFonts w:ascii="Arial" w:hAnsi="Arial"/>
                <w:b/>
                <w:i w:val="0"/>
                <w:color w:val="FF882B"/>
                <w:sz w:val="17"/>
              </w:rPr>
              <w:t xml:space="preserve">Timing: 2 minutes. </w:t>
            </w:r>
            <w:r>
              <w:rPr>
                <w:rFonts w:ascii="Arial" w:hAnsi="Arial"/>
                <w:b w:val="0"/>
                <w:i w:val="0"/>
                <w:color w:val="52646B"/>
                <w:sz w:val="17"/>
              </w:rPr>
              <w:t>Slide job: method.</w:t>
            </w:r>
          </w:p>
          <w:p>
            <w:pPr>
              <w:spacing w:after="120"/>
            </w:pPr>
            <w:r>
              <w:t>Proof is the durable bridge between the current architecture and the next reviewer. Evidence should let another person reconstruct what exists, why it exists, who accepted it, how it operates, and when the rationale must be revisited.</w:t>
            </w:r>
          </w:p>
          <w:p>
            <w:pPr>
              <w:spacing w:after="0"/>
            </w:pPr>
            <w:r>
              <w:rPr>
                <w:rFonts w:ascii="Arial" w:hAnsi="Arial"/>
                <w:b/>
                <w:i w:val="0"/>
                <w:color w:val="11C7B6"/>
                <w:sz w:val="18"/>
              </w:rPr>
              <w:t xml:space="preserve">Transition: </w:t>
            </w:r>
            <w:r>
              <w:rPr>
                <w:rFonts w:ascii="Arial" w:hAnsi="Arial"/>
                <w:b w:val="0"/>
                <w:i/>
                <w:color w:val="071015"/>
                <w:sz w:val="18"/>
              </w:rPr>
              <w:t>The method changes the quality of the conversation even before it changes architecture.</w:t>
            </w:r>
          </w:p>
        </w:tc>
      </w:tr>
    </w:tbl>
    <w:p>
      <w:pPr>
        <w:keepNext/>
        <w:spacing w:before="100" w:after="0"/>
      </w:pPr>
      <w:r>
        <w:rPr>
          <w:rFonts w:ascii="Arial" w:hAnsi="Arial"/>
          <w:b w:val="0"/>
          <w:i w:val="0"/>
          <w:color w:val="FFFFFF"/>
          <w:sz w:val="2"/>
        </w:rPr>
        <w:t xml:space="preserve"> </w:t>
      </w:r>
    </w:p>
    <w:tbl>
      <w:tblPr>
        <w:tblW w:type="auto" w:w="0"/>
        <w:jc w:val="left"/>
        <w:tblLayout w:type="fixed"/>
        <w:tblLook w:firstColumn="1" w:firstRow="1" w:lastColumn="0" w:lastRow="0" w:noHBand="0" w:noVBand="1" w:val="04A0"/>
      </w:tblPr>
      <w:tblGrid>
        <w:gridCol w:w="9576"/>
      </w:tblGrid>
      <w:tr>
        <w:trPr>
          <w:cantSplit/>
        </w:trPr>
        <w:tc>
          <w:tcPr>
            <w:tcW w:type="dxa" w:w="9576"/>
            <w:tcMar>
              <w:top w:w="150" w:type="dxa"/>
              <w:start w:w="170" w:type="dxa"/>
              <w:bottom w:w="150" w:type="dxa"/>
              <w:end w:w="170" w:type="dxa"/>
            </w:tcMar>
            <w:shd w:fill="F7F9FA"/>
          </w:tcPr>
          <w:p>
            <w:pPr>
              <w:pStyle w:val="Heading2"/>
              <w:spacing w:before="0"/>
            </w:pPr>
            <w:r>
              <w:rPr>
                <w:rFonts w:ascii="Impact" w:hAnsi="Impact"/>
                <w:b w:val="0"/>
                <w:i w:val="0"/>
                <w:color w:val="FF882B"/>
                <w:sz w:val="28"/>
              </w:rPr>
              <w:t>22 / THE WAY OUT IS A SHARED STORY THAT CAN BE TESTED.</w:t>
            </w:r>
          </w:p>
          <w:p>
            <w:pPr>
              <w:spacing w:after="120"/>
            </w:pPr>
            <w:r>
              <w:rPr>
                <w:rFonts w:ascii="Arial" w:hAnsi="Arial"/>
                <w:b/>
                <w:i w:val="0"/>
                <w:color w:val="FF882B"/>
                <w:sz w:val="17"/>
              </w:rPr>
              <w:t xml:space="preserve">Timing: 2 minutes. </w:t>
            </w:r>
            <w:r>
              <w:rPr>
                <w:rFonts w:ascii="Arial" w:hAnsi="Arial"/>
                <w:b w:val="0"/>
                <w:i w:val="0"/>
                <w:color w:val="52646B"/>
                <w:sz w:val="17"/>
              </w:rPr>
              <w:t>Slide job: before after.</w:t>
            </w:r>
          </w:p>
          <w:p>
            <w:pPr>
              <w:spacing w:after="120"/>
            </w:pPr>
            <w:r>
              <w:t>This is the synthesis. The desired state is not a perfectly simple environment. It is an environment whose important relationships are understandable, attributable, constrained, and supported by evidence that matches the claim.</w:t>
            </w:r>
          </w:p>
          <w:p>
            <w:pPr>
              <w:spacing w:after="0"/>
            </w:pPr>
            <w:r>
              <w:rPr>
                <w:rFonts w:ascii="Arial" w:hAnsi="Arial"/>
                <w:b/>
                <w:i w:val="0"/>
                <w:color w:val="11C7B6"/>
                <w:sz w:val="18"/>
              </w:rPr>
              <w:t xml:space="preserve">Transition: </w:t>
            </w:r>
            <w:r>
              <w:rPr>
                <w:rFonts w:ascii="Arial" w:hAnsi="Arial"/>
                <w:b w:val="0"/>
                <w:i/>
                <w:color w:val="071015"/>
                <w:sz w:val="18"/>
              </w:rPr>
              <w:t>Close with the questions the audience can carry into Monday morning.</w:t>
            </w:r>
          </w:p>
        </w:tc>
      </w:tr>
    </w:tbl>
    <w:p>
      <w:pPr>
        <w:keepNext/>
        <w:spacing w:before="100" w:after="0"/>
      </w:pPr>
      <w:r>
        <w:rPr>
          <w:rFonts w:ascii="Arial" w:hAnsi="Arial"/>
          <w:b w:val="0"/>
          <w:i w:val="0"/>
          <w:color w:val="FFFFFF"/>
          <w:sz w:val="2"/>
        </w:rPr>
        <w:t xml:space="preserve"> </w:t>
      </w:r>
    </w:p>
    <w:tbl>
      <w:tblPr>
        <w:tblW w:type="auto" w:w="0"/>
        <w:jc w:val="left"/>
        <w:tblLayout w:type="fixed"/>
        <w:tblLook w:firstColumn="1" w:firstRow="1" w:lastColumn="0" w:lastRow="0" w:noHBand="0" w:noVBand="1" w:val="04A0"/>
      </w:tblPr>
      <w:tblGrid>
        <w:gridCol w:w="9576"/>
      </w:tblGrid>
      <w:tr>
        <w:trPr>
          <w:cantSplit/>
        </w:trPr>
        <w:tc>
          <w:tcPr>
            <w:tcW w:type="dxa" w:w="9576"/>
            <w:tcMar>
              <w:top w:w="150" w:type="dxa"/>
              <w:start w:w="170" w:type="dxa"/>
              <w:bottom w:w="150" w:type="dxa"/>
              <w:end w:w="170" w:type="dxa"/>
            </w:tcMar>
            <w:shd w:fill="F7F9FA"/>
          </w:tcPr>
          <w:p>
            <w:pPr>
              <w:pStyle w:val="Heading2"/>
              <w:spacing w:before="0"/>
            </w:pPr>
            <w:r>
              <w:rPr>
                <w:rFonts w:ascii="Impact" w:hAnsi="Impact"/>
                <w:b w:val="0"/>
                <w:i w:val="0"/>
                <w:color w:val="FF882B"/>
                <w:sz w:val="28"/>
              </w:rPr>
              <w:t>23 / SIX QUESTIONS TO TAKE TO THE NEXT MEETING</w:t>
            </w:r>
          </w:p>
          <w:p>
            <w:pPr>
              <w:spacing w:after="120"/>
            </w:pPr>
            <w:r>
              <w:rPr>
                <w:rFonts w:ascii="Arial" w:hAnsi="Arial"/>
                <w:b/>
                <w:i w:val="0"/>
                <w:color w:val="FF882B"/>
                <w:sz w:val="17"/>
              </w:rPr>
              <w:t xml:space="preserve">Timing: 2 minutes. </w:t>
            </w:r>
            <w:r>
              <w:rPr>
                <w:rFonts w:ascii="Arial" w:hAnsi="Arial"/>
                <w:b w:val="0"/>
                <w:i w:val="0"/>
                <w:color w:val="52646B"/>
                <w:sz w:val="17"/>
              </w:rPr>
              <w:t>Slide job: takeaway.</w:t>
            </w:r>
          </w:p>
          <w:p>
            <w:pPr>
              <w:spacing w:after="120"/>
            </w:pPr>
            <w:r>
              <w:t>Read the questions slowly. They work across scope, TPSP responsibility, evidence, exceptions, diagrams, and inherited controls. Invite the room to photograph the slide or use the workbook, subject to the meeting's rules.</w:t>
            </w:r>
          </w:p>
          <w:p>
            <w:pPr>
              <w:spacing w:after="0"/>
            </w:pPr>
            <w:r>
              <w:rPr>
                <w:rFonts w:ascii="Arial" w:hAnsi="Arial"/>
                <w:b/>
                <w:i w:val="0"/>
                <w:color w:val="11C7B6"/>
                <w:sz w:val="18"/>
              </w:rPr>
              <w:t xml:space="preserve">Transition: </w:t>
            </w:r>
            <w:r>
              <w:rPr>
                <w:rFonts w:ascii="Arial" w:hAnsi="Arial"/>
                <w:b w:val="0"/>
                <w:i/>
                <w:color w:val="071015"/>
                <w:sz w:val="18"/>
              </w:rPr>
              <w:t>Return to the mantra and resolve the opening joke.</w:t>
            </w:r>
          </w:p>
        </w:tc>
      </w:tr>
    </w:tbl>
    <w:p>
      <w:pPr>
        <w:keepNext/>
        <w:spacing w:before="100" w:after="0"/>
      </w:pPr>
      <w:r>
        <w:rPr>
          <w:rFonts w:ascii="Arial" w:hAnsi="Arial"/>
          <w:b w:val="0"/>
          <w:i w:val="0"/>
          <w:color w:val="FFFFFF"/>
          <w:sz w:val="2"/>
        </w:rPr>
        <w:t xml:space="preserve"> </w:t>
      </w:r>
    </w:p>
    <w:tbl>
      <w:tblPr>
        <w:tblW w:type="auto" w:w="0"/>
        <w:jc w:val="left"/>
        <w:tblLayout w:type="fixed"/>
        <w:tblLook w:firstColumn="1" w:firstRow="1" w:lastColumn="0" w:lastRow="0" w:noHBand="0" w:noVBand="1" w:val="04A0"/>
      </w:tblPr>
      <w:tblGrid>
        <w:gridCol w:w="9576"/>
      </w:tblGrid>
      <w:tr>
        <w:trPr>
          <w:cantSplit/>
        </w:trPr>
        <w:tc>
          <w:tcPr>
            <w:tcW w:type="dxa" w:w="9576"/>
            <w:tcMar>
              <w:top w:w="150" w:type="dxa"/>
              <w:start w:w="170" w:type="dxa"/>
              <w:bottom w:w="150" w:type="dxa"/>
              <w:end w:w="170" w:type="dxa"/>
            </w:tcMar>
            <w:shd w:fill="F7F9FA"/>
          </w:tcPr>
          <w:p>
            <w:pPr>
              <w:pStyle w:val="Heading2"/>
              <w:spacing w:before="0"/>
            </w:pPr>
            <w:r>
              <w:rPr>
                <w:rFonts w:ascii="Impact" w:hAnsi="Impact"/>
                <w:b w:val="0"/>
                <w:i w:val="0"/>
                <w:color w:val="FF882B"/>
                <w:sz w:val="28"/>
              </w:rPr>
              <w:t>24 / FIND. MAP. EXPLAIN. REDUCE. PROVE.</w:t>
            </w:r>
          </w:p>
          <w:p>
            <w:pPr>
              <w:spacing w:after="120"/>
            </w:pPr>
            <w:r>
              <w:rPr>
                <w:rFonts w:ascii="Arial" w:hAnsi="Arial"/>
                <w:b/>
                <w:i w:val="0"/>
                <w:color w:val="FF882B"/>
                <w:sz w:val="17"/>
              </w:rPr>
              <w:t xml:space="preserve">Timing: 1 minute. </w:t>
            </w:r>
            <w:r>
              <w:rPr>
                <w:rFonts w:ascii="Arial" w:hAnsi="Arial"/>
                <w:b w:val="0"/>
                <w:i w:val="0"/>
                <w:color w:val="52646B"/>
                <w:sz w:val="17"/>
              </w:rPr>
              <w:t>Slide job: close.</w:t>
            </w:r>
          </w:p>
          <w:p>
            <w:pPr>
              <w:spacing w:after="120"/>
            </w:pPr>
            <w:r>
              <w:t>End on the method rather than a generic thank-you slide. Reinforce the boundary: the vocabulary is independent practitioner shorthand; the discipline is to make real relationships explainable and testable. Invite questions and practitioner counterexamples.</w:t>
            </w:r>
          </w:p>
          <w:p>
            <w:pPr>
              <w:spacing w:after="60"/>
            </w:pPr>
            <w:r>
              <w:rPr>
                <w:rFonts w:ascii="Arial" w:hAnsi="Arial"/>
                <w:b/>
                <w:i w:val="0"/>
                <w:color w:val="FF882B"/>
                <w:sz w:val="16"/>
              </w:rPr>
              <w:t>AUDIENCE PROMPT</w:t>
            </w:r>
          </w:p>
          <w:p>
            <w:pPr>
              <w:shd w:fill="E9F8F6"/>
              <w:spacing w:before="80" w:after="140"/>
              <w:ind w:left="173" w:right="173"/>
            </w:pPr>
            <w:r>
              <w:rPr>
                <w:rFonts w:ascii="Arial" w:hAnsi="Arial"/>
                <w:b/>
                <w:i w:val="0"/>
                <w:color w:val="071015"/>
                <w:sz w:val="21"/>
              </w:rPr>
              <w:t>Where does the Wack hide in otherwise reasonable systems?</w:t>
            </w:r>
          </w:p>
        </w:tc>
      </w:tr>
    </w:tbl>
    <w:p>
      <w:r>
        <w:br w:type="page"/>
      </w:r>
    </w:p>
    <w:p>
      <w:pPr>
        <w:pStyle w:val="Heading1"/>
      </w:pPr>
      <w:r>
        <w:t>Facilitating the mapping exercise</w:t>
      </w:r>
    </w:p>
    <w:p>
      <w:pPr>
        <w:pStyle w:val="Heading2"/>
      </w:pPr>
      <w:r>
        <w:t>Set the boundary</w:t>
      </w:r>
    </w:p>
    <w:p>
      <w:r>
        <w:t>Participants choose one relationship but exclude identifying system names, client data, evidence, and incident details.</w:t>
      </w:r>
    </w:p>
    <w:p>
      <w:pPr>
        <w:pStyle w:val="Heading2"/>
      </w:pPr>
      <w:r>
        <w:t>Keep the drawing rough</w:t>
      </w:r>
    </w:p>
    <w:p>
      <w:r>
        <w:t>Boxes and arrows are enough. The exercise rewards visible relationships, not architecture-diagram polish.</w:t>
      </w:r>
    </w:p>
    <w:p>
      <w:pPr>
        <w:pStyle w:val="Heading2"/>
      </w:pPr>
      <w:r>
        <w:t>Separate statement types</w:t>
      </w:r>
    </w:p>
    <w:p>
      <w:r>
        <w:t>Known facts go in white, assumptions in orange, and decisions or disputed edges in red.</w:t>
      </w:r>
    </w:p>
    <w:p>
      <w:pPr>
        <w:pStyle w:val="Heading2"/>
      </w:pPr>
      <w:r>
        <w:t>Protect the method order</w:t>
      </w:r>
    </w:p>
    <w:p>
      <w:r>
        <w:t>Do not jump from discovery directly to remediation. Map and explain the relationship before proposing reduction.</w:t>
      </w:r>
    </w:p>
    <w:p>
      <w:pPr>
        <w:pStyle w:val="Heading2"/>
      </w:pPr>
      <w:r>
        <w:t>Debrief without judging compliance</w:t>
      </w:r>
    </w:p>
    <w:p>
      <w:r>
        <w:t>Ask what became visible, which owner was missing, and what the next useful question is.</w:t>
      </w:r>
    </w:p>
    <w:p>
      <w:pPr>
        <w:pStyle w:val="Heading1"/>
      </w:pPr>
      <w:r>
        <w:t>Likely questions</w:t>
      </w:r>
    </w:p>
    <w:p>
      <w:pPr>
        <w:pStyle w:val="Heading2"/>
      </w:pPr>
      <w:r>
        <w:t>Is this a new PCI SSC framework?</w:t>
      </w:r>
    </w:p>
    <w:p>
      <w:r>
        <w:t>No. It is independent practitioner shorthand for organizing accumulated complexity and the questions needed to examine it.</w:t>
      </w:r>
    </w:p>
    <w:p>
      <w:pPr>
        <w:pStyle w:val="Heading2"/>
      </w:pPr>
      <w:r>
        <w:t>Does administrative reach automatically make a system in scope?</w:t>
      </w:r>
    </w:p>
    <w:p>
      <w:r>
        <w:t>The talk deliberately does not make that conclusion. It shows why an observed relationship must be evaluated using applicable PCI DSS scoping guidance and the entity's facts.</w:t>
      </w:r>
    </w:p>
    <w:p>
      <w:pPr>
        <w:pStyle w:val="Heading2"/>
      </w:pPr>
      <w:r>
        <w:t>Are dashboards or AOCs inadequate?</w:t>
      </w:r>
    </w:p>
    <w:p>
      <w:r>
        <w:t>Not categorically. The question is whether the artifact and its context support the specific claim being made.</w:t>
      </w:r>
    </w:p>
    <w:p>
      <w:pPr>
        <w:pStyle w:val="Heading2"/>
      </w:pPr>
      <w:r>
        <w:t>Is the Wack Score a compliance score?</w:t>
      </w:r>
    </w:p>
    <w:p>
      <w:r>
        <w:t>No. It is an educational prioritization aid, not an assessment result.</w:t>
      </w:r>
    </w:p>
    <w:p>
      <w:pPr>
        <w:pStyle w:val="Heading2"/>
      </w:pPr>
      <w:r>
        <w:t>Can we use a real client example?</w:t>
      </w:r>
    </w:p>
    <w:p>
      <w:r>
        <w:t>Use a fictional composite or thoroughly sanitized pattern. Do not expose client facts, evidence, or identifying incident details.</w:t>
      </w:r>
    </w:p>
    <w:p>
      <w:pPr>
        <w:pStyle w:val="Heading1"/>
      </w:pPr>
      <w:r>
        <w:t>Sources and review status</w:t>
      </w:r>
    </w:p>
    <w:p>
      <w:r>
        <w:t>The session is speaker-ready as an internal draft. Normative phrasing remains pending named practitioner review before external submission or delivery.</w:t>
      </w:r>
    </w:p>
    <w:p>
      <w:pPr>
        <w:pStyle w:val="ListBullet"/>
      </w:pPr>
      <w:r>
        <w:rPr>
          <w:rFonts w:ascii="Arial" w:hAnsi="Arial"/>
          <w:b/>
          <w:i w:val="0"/>
          <w:color w:val="071015"/>
          <w:sz w:val="21"/>
        </w:rPr>
        <w:t xml:space="preserve">PCI DSS v4.0.1 - PCI Security Standards Council. </w:t>
      </w:r>
      <w:r>
        <w:rPr>
          <w:rFonts w:ascii="Arial" w:hAnsi="Arial"/>
          <w:b w:val="0"/>
          <w:i w:val="0"/>
          <w:color w:val="52646B"/>
          <w:sz w:val="21"/>
        </w:rPr>
        <w:t>https://www.pcisecuritystandards.org/document_library/?class=pcidss&amp;doc=pci_dss</w:t>
      </w:r>
    </w:p>
    <w:p>
      <w:pPr>
        <w:pStyle w:val="ListBullet"/>
      </w:pPr>
      <w:r>
        <w:rPr>
          <w:rFonts w:ascii="Arial" w:hAnsi="Arial"/>
          <w:b/>
          <w:i w:val="0"/>
          <w:color w:val="071015"/>
          <w:sz w:val="21"/>
        </w:rPr>
        <w:t xml:space="preserve">How is an entity's PCI DSS compliance impacted by using TPSPs? - PCI Security Standards Council. </w:t>
      </w:r>
      <w:r>
        <w:rPr>
          <w:rFonts w:ascii="Arial" w:hAnsi="Arial"/>
          <w:b w:val="0"/>
          <w:i w:val="0"/>
          <w:color w:val="52646B"/>
          <w:sz w:val="21"/>
        </w:rPr>
        <w:t>https://www.pcisecuritystandards.org/faqs/1312/</w:t>
      </w:r>
    </w:p>
    <w:p>
      <w:pPr>
        <w:pStyle w:val="ListBullet"/>
      </w:pPr>
      <w:r>
        <w:rPr>
          <w:rFonts w:ascii="Arial" w:hAnsi="Arial"/>
          <w:b/>
          <w:i w:val="0"/>
          <w:color w:val="071015"/>
          <w:sz w:val="21"/>
        </w:rPr>
        <w:t xml:space="preserve">Is sampling allowed in PCI DSS v4.x? - PCI Security Standards Council. </w:t>
      </w:r>
      <w:r>
        <w:rPr>
          <w:rFonts w:ascii="Arial" w:hAnsi="Arial"/>
          <w:b w:val="0"/>
          <w:i w:val="0"/>
          <w:color w:val="52646B"/>
          <w:sz w:val="21"/>
        </w:rPr>
        <w:t>https://www.pcisecuritystandards.org/faqs/1569/</w:t>
      </w:r>
    </w:p>
    <w:p>
      <w:pPr>
        <w:pStyle w:val="ListBullet"/>
      </w:pPr>
      <w:r>
        <w:rPr>
          <w:rFonts w:ascii="Arial" w:hAnsi="Arial"/>
          <w:b/>
          <w:i w:val="0"/>
          <w:color w:val="071015"/>
          <w:sz w:val="21"/>
        </w:rPr>
        <w:t xml:space="preserve">Guidance for Compensating Controls and the Customized Approach - PCI Security Standards Council. </w:t>
      </w:r>
      <w:r>
        <w:rPr>
          <w:rFonts w:ascii="Arial" w:hAnsi="Arial"/>
          <w:b w:val="0"/>
          <w:i w:val="0"/>
          <w:color w:val="52646B"/>
          <w:sz w:val="21"/>
        </w:rPr>
        <w:t>https://blog.pcisecuritystandards.org/pci-ssc-publishes-new-guidance-on-compensating-controls-and-the-customized-approach</w:t>
      </w:r>
    </w:p>
    <w:sectPr w:rsidR="00FC693F" w:rsidRPr="0006063C" w:rsidSect="00034616">
      <w:pgSz w:w="12240" w:h="15840"/>
      <w:pgMar w:top="1037" w:right="1238" w:bottom="1008" w:left="1238"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pPr>
    <w:r>
      <w:rPr>
        <w:rFonts w:ascii="Arial" w:hAnsi="Arial"/>
        <w:b w:val="0"/>
        <w:i w:val="0"/>
        <w:color w:val="52646B"/>
        <w:sz w:val="14"/>
      </w:rPr>
      <w:t>Independent practitioner resource  /  theclusterofwack.com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rial" w:hAnsi="Arial"/>
        <w:b/>
        <w:i w:val="0"/>
        <w:color w:val="52646B"/>
        <w:sz w:val="15"/>
      </w:rPr>
      <w:t>THE CLUSTER OF WACK  /  COMMUNITY SESSION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Arial" w:hAnsi="Arial"/>
      <w:color w:val="071015"/>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Impact" w:hAnsi="Impact"/>
      <w:b w:val="0"/>
      <w:bCs/>
      <w:color w:val="071015"/>
      <w:sz w:val="40"/>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Impact" w:hAnsi="Impact"/>
      <w:b w:val="0"/>
      <w:bCs/>
      <w:color w:val="FF882B"/>
      <w:sz w:val="28"/>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b/>
      <w:bCs/>
      <w:color w:val="11C7B6"/>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Impact" w:hAnsi="Impact"/>
      <w:b w:val="0"/>
      <w:color w:val="071015"/>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Arial" w:hAnsi="Arial"/>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Arial" w:hAnsi="Arial"/>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Cluster of Wack - Community Meeting Facilitator Guide</dc:title>
  <dc:subject>Cluster of Wack practitioner training material</dc:subject>
  <dc:creator>The Cluster of Wack</dc:creator>
  <cp:keywords>PCI DSS, practitioner education, training, Cluster of Wack</cp:keywords>
  <dc:description>generated by python-docx</dc:description>
  <cp:lastModifiedBy>The Cluster of Wack</cp:lastModifiedBy>
  <cp:revision>1</cp:revision>
  <dcterms:created xsi:type="dcterms:W3CDTF">2013-12-23T23:15:00Z</dcterms:created>
  <dcterms:modified xsi:type="dcterms:W3CDTF">2013-12-23T23:15:00Z</dcterms:modified>
  <cp:category/>
</cp:coreProperties>
</file>